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ED" w:rsidRPr="003C3F28" w:rsidRDefault="00E218ED" w:rsidP="00E218ED">
      <w:pPr>
        <w:spacing w:line="360" w:lineRule="auto"/>
        <w:ind w:firstLineChars="200" w:firstLine="560"/>
        <w:rPr>
          <w:rFonts w:ascii="宋体" w:hAnsi="宋体"/>
          <w:sz w:val="28"/>
        </w:rPr>
      </w:pPr>
      <w:bookmarkStart w:id="0" w:name="_GoBack"/>
      <w:r w:rsidRPr="003C3F28">
        <w:rPr>
          <w:rFonts w:ascii="宋体" w:hAnsi="宋体" w:hint="eastAsia"/>
          <w:sz w:val="28"/>
        </w:rPr>
        <w:t>评标原则和方法</w:t>
      </w:r>
    </w:p>
    <w:p w:rsidR="00E218ED" w:rsidRPr="003C3F28" w:rsidRDefault="00E218ED" w:rsidP="00E218ED">
      <w:pPr>
        <w:spacing w:line="360" w:lineRule="auto"/>
        <w:ind w:firstLineChars="200" w:firstLine="480"/>
        <w:rPr>
          <w:rFonts w:ascii="宋体" w:hAnsi="宋体"/>
        </w:rPr>
      </w:pPr>
      <w:r w:rsidRPr="003C3F28">
        <w:rPr>
          <w:rFonts w:ascii="宋体" w:hAnsi="宋体" w:hint="eastAsia"/>
        </w:rPr>
        <w:t>1、原则：</w:t>
      </w:r>
    </w:p>
    <w:p w:rsidR="00E218ED" w:rsidRPr="003C3F28" w:rsidRDefault="00E218ED" w:rsidP="00E218ED">
      <w:pPr>
        <w:spacing w:line="360" w:lineRule="auto"/>
        <w:ind w:firstLineChars="250" w:firstLine="600"/>
        <w:rPr>
          <w:rFonts w:ascii="宋体" w:hAnsi="宋体"/>
        </w:rPr>
      </w:pPr>
      <w:r w:rsidRPr="003C3F28">
        <w:rPr>
          <w:rFonts w:ascii="宋体" w:hAnsi="宋体" w:hint="eastAsia"/>
        </w:rPr>
        <w:t>招标方坚持“公开、公平、公正、效益”的原则，公正、平等地对待各投标方；招标方将对投标方的投标文件进行认真评审；</w:t>
      </w:r>
    </w:p>
    <w:p w:rsidR="00E218ED" w:rsidRPr="003C3F28" w:rsidRDefault="00E218ED" w:rsidP="00E218ED">
      <w:pPr>
        <w:spacing w:line="360" w:lineRule="auto"/>
        <w:ind w:firstLineChars="250" w:firstLine="600"/>
        <w:rPr>
          <w:rFonts w:ascii="宋体" w:hAnsi="宋体"/>
        </w:rPr>
      </w:pPr>
      <w:r w:rsidRPr="003C3F28">
        <w:rPr>
          <w:rFonts w:ascii="宋体" w:hAnsi="宋体" w:hint="eastAsia"/>
        </w:rPr>
        <w:t>保密性原则：招标方将保守投标方的商业和技术秘密；</w:t>
      </w:r>
    </w:p>
    <w:p w:rsidR="00E218ED" w:rsidRPr="003C3F28" w:rsidRDefault="00E218ED" w:rsidP="00E218ED">
      <w:pPr>
        <w:spacing w:line="360" w:lineRule="auto"/>
        <w:ind w:firstLineChars="250" w:firstLine="600"/>
        <w:rPr>
          <w:rFonts w:ascii="宋体" w:hAnsi="宋体"/>
        </w:rPr>
      </w:pPr>
      <w:r w:rsidRPr="003C3F28">
        <w:rPr>
          <w:rFonts w:ascii="宋体" w:hAnsi="宋体" w:hint="eastAsia"/>
        </w:rPr>
        <w:t>综合性原则：招标方将综合分析投标方的各项指标，而不以单项指标的优劣评选出中标单位。</w:t>
      </w:r>
    </w:p>
    <w:p w:rsidR="00E218ED" w:rsidRPr="003C3F28" w:rsidRDefault="00E218ED" w:rsidP="00E218ED">
      <w:pPr>
        <w:spacing w:line="360" w:lineRule="auto"/>
        <w:ind w:firstLineChars="250" w:firstLine="600"/>
        <w:rPr>
          <w:rFonts w:ascii="宋体" w:hAnsi="宋体"/>
        </w:rPr>
      </w:pPr>
      <w:r w:rsidRPr="003C3F28">
        <w:rPr>
          <w:rFonts w:ascii="宋体" w:hAnsi="宋体" w:hint="eastAsia"/>
        </w:rPr>
        <w:t>2</w:t>
      </w:r>
      <w:r w:rsidR="0047705E" w:rsidRPr="003C3F28">
        <w:rPr>
          <w:rFonts w:ascii="宋体" w:hAnsi="宋体" w:hint="eastAsia"/>
        </w:rPr>
        <w:t>、评标办法：综合评分</w:t>
      </w:r>
      <w:r w:rsidRPr="003C3F28">
        <w:rPr>
          <w:rFonts w:ascii="宋体" w:hAnsi="宋体" w:hint="eastAsia"/>
        </w:rPr>
        <w:t>法</w:t>
      </w:r>
    </w:p>
    <w:p w:rsidR="00E218ED" w:rsidRPr="003C3F28" w:rsidRDefault="00E218ED" w:rsidP="00E218ED">
      <w:pPr>
        <w:spacing w:line="400" w:lineRule="exact"/>
        <w:ind w:firstLineChars="250" w:firstLine="600"/>
        <w:rPr>
          <w:rFonts w:ascii="宋体" w:hAnsi="宋体"/>
        </w:rPr>
      </w:pPr>
      <w:r w:rsidRPr="003C3F28">
        <w:rPr>
          <w:rFonts w:ascii="宋体" w:hAnsi="宋体" w:hint="eastAsia"/>
        </w:rPr>
        <w:t>3、</w:t>
      </w:r>
      <w:r w:rsidRPr="003C3F28">
        <w:rPr>
          <w:rFonts w:ascii="宋体" w:hAnsi="宋体"/>
        </w:rPr>
        <w:t>评标细则：</w:t>
      </w:r>
    </w:p>
    <w:p w:rsidR="00E218ED" w:rsidRPr="003C3F28" w:rsidRDefault="00E218ED" w:rsidP="00E218ED">
      <w:pPr>
        <w:spacing w:line="360" w:lineRule="auto"/>
        <w:rPr>
          <w:rFonts w:ascii="宋体" w:hAnsi="宋体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567"/>
        <w:gridCol w:w="1577"/>
        <w:gridCol w:w="5511"/>
        <w:gridCol w:w="567"/>
      </w:tblGrid>
      <w:tr w:rsidR="000C2151" w:rsidRPr="003C3F28" w:rsidTr="00C13A03">
        <w:trPr>
          <w:trHeight w:val="2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评审指标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评审内容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评分标准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分值</w:t>
            </w:r>
          </w:p>
        </w:tc>
      </w:tr>
      <w:tr w:rsidR="000C2151" w:rsidRPr="003C3F28" w:rsidTr="00C13A03">
        <w:trPr>
          <w:trHeight w:val="27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793EF9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价格评分（</w:t>
            </w:r>
            <w:r w:rsidR="00793EF9" w:rsidRPr="003C3F28">
              <w:rPr>
                <w:rFonts w:ascii="宋体" w:hAnsi="宋体" w:cs="宋体"/>
                <w:sz w:val="22"/>
                <w:szCs w:val="22"/>
              </w:rPr>
              <w:t>30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投标价格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6AF" w:rsidRPr="003C3F28" w:rsidRDefault="00E856AF" w:rsidP="00E856AF">
            <w:pPr>
              <w:pStyle w:val="GW-"/>
              <w:ind w:firstLine="420"/>
              <w:rPr>
                <w:szCs w:val="21"/>
              </w:rPr>
            </w:pPr>
            <w:r w:rsidRPr="003C3F28">
              <w:rPr>
                <w:szCs w:val="21"/>
              </w:rPr>
              <w:t>满足招标文件要求且投标价格最低的投标报价作为评标基准价，其价格为满分。其他供应商的价格</w:t>
            </w:r>
            <w:proofErr w:type="gramStart"/>
            <w:r w:rsidRPr="003C3F28">
              <w:rPr>
                <w:szCs w:val="21"/>
              </w:rPr>
              <w:t>分统一</w:t>
            </w:r>
            <w:proofErr w:type="gramEnd"/>
            <w:r w:rsidRPr="003C3F28">
              <w:rPr>
                <w:szCs w:val="21"/>
              </w:rPr>
              <w:t>按照下列公式计算</w:t>
            </w:r>
            <w:r w:rsidRPr="003C3F28">
              <w:rPr>
                <w:rFonts w:hint="eastAsia"/>
                <w:szCs w:val="21"/>
              </w:rPr>
              <w:t>：</w:t>
            </w:r>
          </w:p>
          <w:p w:rsidR="00E856AF" w:rsidRPr="003C3F28" w:rsidRDefault="00E856AF" w:rsidP="00E856AF">
            <w:pPr>
              <w:pStyle w:val="GW-"/>
              <w:ind w:firstLine="420"/>
              <w:rPr>
                <w:szCs w:val="21"/>
              </w:rPr>
            </w:pPr>
            <w:r w:rsidRPr="003C3F28">
              <w:rPr>
                <w:szCs w:val="21"/>
              </w:rPr>
              <w:t>投标报价得分</w:t>
            </w:r>
            <w:r w:rsidRPr="003C3F28">
              <w:rPr>
                <w:szCs w:val="21"/>
              </w:rPr>
              <w:t>=</w:t>
            </w:r>
            <w:r w:rsidRPr="003C3F28">
              <w:rPr>
                <w:szCs w:val="21"/>
              </w:rPr>
              <w:t>（评标基准价</w:t>
            </w:r>
            <w:r w:rsidRPr="003C3F28">
              <w:rPr>
                <w:szCs w:val="21"/>
              </w:rPr>
              <w:t>/</w:t>
            </w:r>
            <w:r w:rsidRPr="003C3F28">
              <w:rPr>
                <w:szCs w:val="21"/>
              </w:rPr>
              <w:t>投标报价）</w:t>
            </w:r>
            <w:r w:rsidRPr="003C3F28">
              <w:rPr>
                <w:szCs w:val="21"/>
              </w:rPr>
              <w:t>×30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793EF9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30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商务资质评分（</w:t>
            </w:r>
            <w:r w:rsidR="00583BDF" w:rsidRPr="003C3F28">
              <w:rPr>
                <w:rFonts w:ascii="宋体" w:hAnsi="宋体" w:cs="宋体" w:hint="eastAsia"/>
                <w:sz w:val="22"/>
                <w:szCs w:val="22"/>
              </w:rPr>
              <w:t>34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投标企业资质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高新技术企业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2B4839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投标人具有</w:t>
            </w:r>
            <w:r w:rsidR="00E218ED" w:rsidRPr="003C3F28">
              <w:rPr>
                <w:rFonts w:ascii="宋体" w:hAnsi="宋体" w:cs="宋体" w:hint="eastAsia"/>
                <w:sz w:val="22"/>
                <w:szCs w:val="22"/>
              </w:rPr>
              <w:t>高新技术企业证书的，得</w:t>
            </w:r>
            <w:r w:rsidR="00902A97" w:rsidRPr="003C3F28">
              <w:rPr>
                <w:rFonts w:ascii="宋体" w:hAnsi="宋体" w:cs="宋体"/>
                <w:sz w:val="22"/>
                <w:szCs w:val="22"/>
              </w:rPr>
              <w:t>1</w:t>
            </w:r>
            <w:r w:rsidR="00E218ED" w:rsidRPr="003C3F28">
              <w:rPr>
                <w:rFonts w:ascii="宋体" w:hAnsi="宋体" w:cs="宋体" w:hint="eastAsia"/>
                <w:sz w:val="22"/>
                <w:szCs w:val="22"/>
              </w:rPr>
              <w:t>分，不能提供或证书不在有效期内的不得分。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902A97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质量管理体系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投标人需满足ISO9001质量管理体系，能够提供认证证书的得</w:t>
            </w:r>
            <w:r w:rsidR="00902A97" w:rsidRPr="003C3F28">
              <w:rPr>
                <w:rFonts w:ascii="宋体" w:hAnsi="宋体" w:cs="宋体"/>
                <w:sz w:val="22"/>
                <w:szCs w:val="22"/>
              </w:rPr>
              <w:t>1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分，不能提供或证书不在有效期内的不得分。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902A97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软件开发能力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1"/>
                <w:szCs w:val="21"/>
              </w:rPr>
              <w:t>投标人具备“信息系统集成及服务”资质证书，提供</w:t>
            </w:r>
            <w:r w:rsidR="00E42695" w:rsidRPr="003C3F28">
              <w:rPr>
                <w:rFonts w:ascii="宋体" w:hAnsi="宋体" w:cs="宋体" w:hint="eastAsia"/>
                <w:sz w:val="21"/>
                <w:szCs w:val="21"/>
              </w:rPr>
              <w:t>有效期内</w:t>
            </w:r>
            <w:r w:rsidRPr="003C3F28">
              <w:rPr>
                <w:rFonts w:ascii="宋体" w:hAnsi="宋体" w:cs="宋体" w:hint="eastAsia"/>
                <w:sz w:val="21"/>
                <w:szCs w:val="21"/>
              </w:rPr>
              <w:t>证书证明得</w:t>
            </w:r>
            <w:r w:rsidR="00902A97" w:rsidRPr="003C3F28">
              <w:rPr>
                <w:rFonts w:ascii="宋体" w:hAnsi="宋体" w:cs="宋体"/>
                <w:sz w:val="21"/>
                <w:szCs w:val="21"/>
              </w:rPr>
              <w:t>1</w:t>
            </w:r>
            <w:r w:rsidRPr="003C3F28">
              <w:rPr>
                <w:rFonts w:ascii="宋体" w:hAnsi="宋体" w:cs="宋体" w:hint="eastAsia"/>
                <w:sz w:val="21"/>
                <w:szCs w:val="21"/>
              </w:rPr>
              <w:t>分。</w:t>
            </w:r>
            <w:r w:rsidR="00D91496" w:rsidRPr="003C3F28">
              <w:rPr>
                <w:rFonts w:ascii="宋体" w:hAnsi="宋体" w:cs="宋体" w:hint="eastAsia"/>
                <w:sz w:val="22"/>
                <w:szCs w:val="22"/>
              </w:rPr>
              <w:t>不能提供或证书不在有效期内的不得分。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902A97" w:rsidP="00D425F0">
            <w:pPr>
              <w:jc w:val="center"/>
              <w:rPr>
                <w:rFonts w:ascii="宋体" w:hAnsi="宋体" w:cs="宋体"/>
                <w:strike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软件企业认证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投标人能够提供软件企业认定证书的，得</w:t>
            </w:r>
            <w:r w:rsidR="00902A97" w:rsidRPr="003C3F28">
              <w:rPr>
                <w:rFonts w:ascii="宋体" w:hAnsi="宋体" w:cs="宋体"/>
                <w:sz w:val="22"/>
                <w:szCs w:val="22"/>
              </w:rPr>
              <w:t>1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分，不能提供或证书不在有效期内的不得分。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902A97" w:rsidP="00D425F0">
            <w:pPr>
              <w:jc w:val="center"/>
              <w:rPr>
                <w:rFonts w:ascii="宋体" w:hAnsi="宋体" w:cs="宋体"/>
                <w:strike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  <w:tr w:rsidR="000C2151" w:rsidRPr="003C3F28" w:rsidTr="00C13A03">
        <w:trPr>
          <w:trHeight w:val="54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企业荣誉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5E4BA3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能提供公司获得的医院后勤信息化领域奖项，每1个得</w:t>
            </w:r>
            <w:r w:rsidR="005E4BA3"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分，最高不超过</w:t>
            </w:r>
            <w:r w:rsidR="005E4BA3" w:rsidRPr="003C3F28">
              <w:rPr>
                <w:rFonts w:ascii="宋体" w:hAnsi="宋体" w:cs="宋体"/>
                <w:sz w:val="22"/>
                <w:szCs w:val="22"/>
              </w:rPr>
              <w:t>4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5E4BA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软件产品资质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软件产品检测报告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0374C1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投标人能够提供</w:t>
            </w:r>
            <w:proofErr w:type="gramStart"/>
            <w:r w:rsidR="00102A7E" w:rsidRPr="003C3F28">
              <w:rPr>
                <w:rFonts w:ascii="宋体" w:hAnsi="宋体" w:cs="宋体" w:hint="eastAsia"/>
                <w:sz w:val="22"/>
                <w:szCs w:val="22"/>
              </w:rPr>
              <w:t>医</w:t>
            </w:r>
            <w:proofErr w:type="gramEnd"/>
            <w:r w:rsidR="00102A7E" w:rsidRPr="003C3F28">
              <w:rPr>
                <w:rFonts w:ascii="宋体" w:hAnsi="宋体" w:cs="宋体" w:hint="eastAsia"/>
                <w:sz w:val="22"/>
                <w:szCs w:val="22"/>
              </w:rPr>
              <w:t>废转运车智能控制系统著作权和</w:t>
            </w:r>
            <w:proofErr w:type="gramStart"/>
            <w:r w:rsidRPr="003C3F28">
              <w:rPr>
                <w:rFonts w:ascii="宋体" w:hAnsi="宋体" w:cs="宋体" w:hint="eastAsia"/>
                <w:sz w:val="22"/>
                <w:szCs w:val="22"/>
              </w:rPr>
              <w:t>医废</w:t>
            </w:r>
            <w:proofErr w:type="gramEnd"/>
            <w:r w:rsidRPr="003C3F28">
              <w:rPr>
                <w:rFonts w:ascii="宋体" w:hAnsi="宋体" w:cs="宋体" w:hint="eastAsia"/>
                <w:sz w:val="22"/>
                <w:szCs w:val="22"/>
              </w:rPr>
              <w:t>运送管理系统检测报告的，每提供一个得</w:t>
            </w:r>
            <w:r w:rsidR="005E4BA3"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分。</w:t>
            </w:r>
            <w:r w:rsidR="005E4BA3" w:rsidRPr="003C3F28">
              <w:rPr>
                <w:rFonts w:ascii="宋体" w:hAnsi="宋体" w:cs="宋体" w:hint="eastAsia"/>
                <w:sz w:val="22"/>
                <w:szCs w:val="22"/>
              </w:rPr>
              <w:t>最高4分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5E4BA3" w:rsidP="005E4BA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著作权证书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902A97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</w:t>
            </w:r>
            <w:r w:rsidRPr="003C3F28">
              <w:rPr>
                <w:rFonts w:ascii="宋体" w:hAnsi="宋体" w:cs="宋体"/>
                <w:sz w:val="22"/>
                <w:szCs w:val="22"/>
              </w:rPr>
              <w:t>应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结合</w:t>
            </w:r>
            <w:r w:rsidRPr="003C3F28">
              <w:rPr>
                <w:rFonts w:ascii="宋体" w:hAnsi="宋体" w:cs="宋体"/>
                <w:sz w:val="22"/>
                <w:szCs w:val="22"/>
              </w:rPr>
              <w:t>医院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后勤需求，高度重视医院后勤未来可扩展性发展，</w:t>
            </w:r>
            <w:r w:rsidRPr="003C3F28">
              <w:rPr>
                <w:rFonts w:ascii="宋体" w:hAnsi="宋体" w:cs="宋体"/>
                <w:sz w:val="22"/>
                <w:szCs w:val="22"/>
              </w:rPr>
              <w:t>满足用户不断发展的要求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，投标人能够提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lastRenderedPageBreak/>
              <w:t>供</w:t>
            </w:r>
            <w:proofErr w:type="gramStart"/>
            <w:r w:rsidRPr="003C3F28">
              <w:rPr>
                <w:rFonts w:ascii="宋体" w:hAnsi="宋体" w:cs="宋体" w:hint="eastAsia"/>
                <w:sz w:val="22"/>
                <w:szCs w:val="22"/>
              </w:rPr>
              <w:t>医</w:t>
            </w:r>
            <w:proofErr w:type="gramEnd"/>
            <w:r w:rsidRPr="003C3F28">
              <w:rPr>
                <w:rFonts w:ascii="宋体" w:hAnsi="宋体" w:cs="宋体" w:hint="eastAsia"/>
                <w:sz w:val="22"/>
                <w:szCs w:val="22"/>
              </w:rPr>
              <w:t>废系统软件和能耗管理平台软件著作权证书的，每提供一个得</w:t>
            </w:r>
            <w:r w:rsidR="00902A97" w:rsidRPr="003C3F28">
              <w:rPr>
                <w:rFonts w:ascii="宋体" w:hAnsi="宋体" w:cs="宋体"/>
                <w:sz w:val="22"/>
                <w:szCs w:val="22"/>
              </w:rPr>
              <w:t>1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分。</w:t>
            </w:r>
            <w:r w:rsidR="00D1408E" w:rsidRPr="003C3F28">
              <w:rPr>
                <w:rFonts w:ascii="宋体" w:hAnsi="宋体" w:cs="宋体" w:hint="eastAsia"/>
                <w:sz w:val="22"/>
                <w:szCs w:val="22"/>
              </w:rPr>
              <w:t>最高</w:t>
            </w:r>
            <w:r w:rsidR="00902A97"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="00D1408E" w:rsidRPr="003C3F28">
              <w:rPr>
                <w:rFonts w:ascii="宋体" w:hAnsi="宋体" w:cs="宋体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902A97" w:rsidP="00D730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lastRenderedPageBreak/>
              <w:t>2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8ED" w:rsidRPr="003C3F28" w:rsidRDefault="00E218ED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项目经验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18ED" w:rsidRPr="003C3F28" w:rsidRDefault="00E218ED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项目案例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E218ED" w:rsidP="000374C1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1"/>
                <w:szCs w:val="21"/>
              </w:rPr>
              <w:t>投标人2017年1月1日至今，</w:t>
            </w:r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提供</w:t>
            </w:r>
            <w:r w:rsidR="00BD3530" w:rsidRPr="003C3F28">
              <w:rPr>
                <w:rFonts w:ascii="宋体" w:hAnsi="宋体" w:cs="宋体" w:hint="eastAsia"/>
                <w:sz w:val="21"/>
                <w:szCs w:val="21"/>
              </w:rPr>
              <w:t>南通市地区医院案例每一个</w:t>
            </w:r>
            <w:r w:rsidR="000374C1" w:rsidRPr="003C3F28">
              <w:rPr>
                <w:rFonts w:ascii="宋体" w:hAnsi="宋体" w:cs="宋体" w:hint="eastAsia"/>
                <w:sz w:val="21"/>
                <w:szCs w:val="21"/>
              </w:rPr>
              <w:t>得3分，</w:t>
            </w:r>
            <w:r w:rsidR="00102A7E" w:rsidRPr="003C3F28">
              <w:rPr>
                <w:rFonts w:ascii="宋体" w:hAnsi="宋体" w:cs="宋体" w:hint="eastAsia"/>
                <w:sz w:val="21"/>
                <w:szCs w:val="21"/>
              </w:rPr>
              <w:t>江苏省内</w:t>
            </w:r>
            <w:r w:rsidR="000374C1" w:rsidRPr="003C3F28">
              <w:rPr>
                <w:rFonts w:ascii="宋体" w:hAnsi="宋体" w:cs="宋体" w:hint="eastAsia"/>
                <w:sz w:val="21"/>
                <w:szCs w:val="21"/>
              </w:rPr>
              <w:t>其他地区</w:t>
            </w:r>
            <w:r w:rsidR="002B4570" w:rsidRPr="003C3F28">
              <w:rPr>
                <w:rFonts w:ascii="宋体" w:hAnsi="宋体" w:cs="宋体" w:hint="eastAsia"/>
                <w:sz w:val="21"/>
                <w:szCs w:val="21"/>
              </w:rPr>
              <w:t>三级</w:t>
            </w:r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医院</w:t>
            </w:r>
            <w:proofErr w:type="gramStart"/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医</w:t>
            </w:r>
            <w:proofErr w:type="gramEnd"/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废案例</w:t>
            </w:r>
            <w:r w:rsidR="00BD3530" w:rsidRPr="003C3F28">
              <w:rPr>
                <w:rFonts w:ascii="宋体" w:hAnsi="宋体" w:cs="宋体" w:hint="eastAsia"/>
                <w:sz w:val="21"/>
                <w:szCs w:val="21"/>
              </w:rPr>
              <w:t>每一个</w:t>
            </w:r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得</w:t>
            </w:r>
            <w:r w:rsidR="00102A7E" w:rsidRPr="003C3F28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B165A4" w:rsidRPr="003C3F28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102A7E" w:rsidRPr="003C3F28">
              <w:rPr>
                <w:rFonts w:ascii="宋体" w:hAnsi="宋体" w:cs="宋体" w:hint="eastAsia"/>
                <w:sz w:val="21"/>
                <w:szCs w:val="21"/>
              </w:rPr>
              <w:t>,</w:t>
            </w:r>
            <w:r w:rsidRPr="003C3F28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0374C1" w:rsidRPr="003C3F28">
              <w:rPr>
                <w:rFonts w:ascii="宋体" w:hAnsi="宋体" w:cs="宋体" w:hint="eastAsia"/>
                <w:sz w:val="21"/>
                <w:szCs w:val="21"/>
              </w:rPr>
              <w:t>提供</w:t>
            </w:r>
            <w:r w:rsidRPr="003C3F28">
              <w:rPr>
                <w:rFonts w:ascii="宋体" w:hAnsi="宋体" w:cs="宋体" w:hint="eastAsia"/>
                <w:sz w:val="21"/>
                <w:szCs w:val="21"/>
              </w:rPr>
              <w:t>医院合同复印件，不是江苏省医院不得分）</w:t>
            </w:r>
            <w:r w:rsidR="002B4570" w:rsidRPr="003C3F28">
              <w:rPr>
                <w:rFonts w:ascii="宋体" w:hAnsi="宋体" w:cs="宋体" w:hint="eastAsia"/>
                <w:sz w:val="21"/>
                <w:szCs w:val="21"/>
              </w:rPr>
              <w:t>0-20</w:t>
            </w:r>
            <w:r w:rsidRPr="003C3F28"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8ED" w:rsidRPr="003C3F28" w:rsidRDefault="000374C1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</w:tr>
      <w:tr w:rsidR="000C2151" w:rsidRPr="003C3F28" w:rsidTr="00C13A03">
        <w:trPr>
          <w:trHeight w:val="135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技术评分（</w:t>
            </w:r>
            <w:r w:rsidRPr="003C3F28">
              <w:rPr>
                <w:rFonts w:ascii="宋体" w:hAnsi="宋体" w:cs="宋体"/>
                <w:sz w:val="22"/>
                <w:szCs w:val="22"/>
              </w:rPr>
              <w:t>36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系统解决方案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建设方案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对项目需求的理解程度，总体建设方案的科学合理性和针对性，是否按照招标文件的技术要求进行一一响应，整体方案对招标要求进行全覆盖。由评委根据投标文件编制的内容酌情打分0-5分。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0C2151" w:rsidRPr="003C3F28" w:rsidTr="00C13A03">
        <w:trPr>
          <w:trHeight w:val="54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技术架构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007B6B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系统采用Java开发，并支持B/S架构</w:t>
            </w:r>
            <w:r w:rsidRPr="003C3F28">
              <w:rPr>
                <w:rFonts w:ascii="宋体" w:cs="宋体" w:hint="eastAsia"/>
                <w:sz w:val="22"/>
              </w:rPr>
              <w:t>，兼容目前主流硬件和软件环境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，承诺跟</w:t>
            </w:r>
            <w:r w:rsidR="00D9348E" w:rsidRPr="003C3F28">
              <w:rPr>
                <w:rFonts w:ascii="宋体" w:hAnsi="宋体" w:cs="宋体" w:hint="eastAsia"/>
                <w:sz w:val="22"/>
                <w:szCs w:val="22"/>
              </w:rPr>
              <w:t>南通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市</w:t>
            </w:r>
            <w:proofErr w:type="gramStart"/>
            <w:r w:rsidRPr="003C3F28">
              <w:rPr>
                <w:rFonts w:ascii="宋体" w:hAnsi="宋体" w:cs="宋体" w:hint="eastAsia"/>
                <w:sz w:val="22"/>
                <w:szCs w:val="22"/>
              </w:rPr>
              <w:t>卫健委免费</w:t>
            </w:r>
            <w:proofErr w:type="gramEnd"/>
            <w:r w:rsidRPr="003C3F28">
              <w:rPr>
                <w:rFonts w:ascii="宋体" w:hAnsi="宋体" w:cs="宋体" w:hint="eastAsia"/>
                <w:sz w:val="22"/>
                <w:szCs w:val="22"/>
              </w:rPr>
              <w:t>对接。0-3分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0C2151" w:rsidRPr="003C3F28" w:rsidTr="00C13A03">
        <w:trPr>
          <w:trHeight w:val="8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移动</w:t>
            </w:r>
            <w:proofErr w:type="gramStart"/>
            <w:r w:rsidRPr="003C3F28">
              <w:rPr>
                <w:rFonts w:ascii="宋体" w:hAnsi="宋体" w:cs="宋体" w:hint="eastAsia"/>
                <w:sz w:val="22"/>
                <w:szCs w:val="22"/>
              </w:rPr>
              <w:t>端支持</w:t>
            </w:r>
            <w:proofErr w:type="gramEnd"/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投标人必须为系统提供专用的移动端APP，并同时支持Android和IOS系统。IOS 系统需提供 IOS APP 上架回执证明。0-</w:t>
            </w:r>
            <w:r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0C2151" w:rsidRPr="003C3F28" w:rsidTr="00C13A03">
        <w:trPr>
          <w:trHeight w:val="135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系统兼容性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投标人能提供与三级医院HIS系统成功对接盖章证明文件，按照医院要求实现信息的互联互通，得4分；</w:t>
            </w:r>
          </w:p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投标人能提供与三级医院ERP信息系统成功对接盖章对接证明文件，按照医院要求实现信息的互联互通，得4分；</w:t>
            </w:r>
          </w:p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最高8分。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</w:tr>
      <w:tr w:rsidR="000C2151" w:rsidRPr="003C3F28" w:rsidTr="00C13A03">
        <w:trPr>
          <w:trHeight w:val="135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1"/>
                <w:szCs w:val="21"/>
              </w:rPr>
              <w:t>项目实施与验收方案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1"/>
                <w:szCs w:val="21"/>
              </w:rPr>
              <w:t>投标人对项目提供全套完整的现场实施方案，包括人员安排、质量把控、日程安排、应急方案、培训、验收、资料归档等，酌情打分0-4分。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3C3F28" w:rsidRDefault="00C13A03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825607" w:rsidRPr="003C3F28" w:rsidTr="00C13A03">
        <w:trPr>
          <w:trHeight w:val="135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1"/>
                <w:szCs w:val="21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参与项目人员资质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1"/>
                <w:szCs w:val="21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投标人应委派有经验能力的项目经理，具备电子信息技术相关专业高级职称证书得</w:t>
            </w:r>
            <w:r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分，具有项目管理PMP证书得</w:t>
            </w:r>
            <w:r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分，最高</w:t>
            </w:r>
            <w:r w:rsidRPr="003C3F28">
              <w:rPr>
                <w:rFonts w:ascii="宋体" w:hAnsi="宋体" w:cs="宋体"/>
                <w:sz w:val="22"/>
                <w:szCs w:val="22"/>
              </w:rPr>
              <w:t>4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</w:tr>
      <w:tr w:rsidR="000C2151" w:rsidRPr="003C3F28" w:rsidTr="00216683">
        <w:trPr>
          <w:trHeight w:val="135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D425F0">
            <w:pPr>
              <w:rPr>
                <w:rFonts w:ascii="宋体" w:hAnsi="宋体" w:cs="宋体"/>
                <w:sz w:val="21"/>
                <w:szCs w:val="21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售后服务方案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825607" w:rsidP="00825607">
            <w:pPr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提供详细的售后服务方案，并注明年维护费用及质保期</w:t>
            </w:r>
          </w:p>
          <w:p w:rsidR="006462C7" w:rsidRPr="003C3F28" w:rsidRDefault="00825607" w:rsidP="006462C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年维护费用（含软、硬件），以1万元为基准得0分，每低2000元(不足2000则忽略)，得</w:t>
            </w:r>
            <w:r w:rsidRPr="003C3F28">
              <w:rPr>
                <w:rFonts w:ascii="宋体" w:hAnsi="宋体" w:cs="宋体"/>
                <w:sz w:val="22"/>
                <w:szCs w:val="22"/>
              </w:rPr>
              <w:t>3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分，最高得6分。</w:t>
            </w:r>
          </w:p>
          <w:p w:rsidR="00825607" w:rsidRPr="003C3F28" w:rsidRDefault="006462C7" w:rsidP="006462C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免费质保期，以1年为基准得0分，每多</w:t>
            </w:r>
            <w:r w:rsidRPr="003C3F28">
              <w:rPr>
                <w:rFonts w:ascii="宋体" w:hAnsi="宋体" w:cs="宋体"/>
                <w:sz w:val="22"/>
                <w:szCs w:val="22"/>
              </w:rPr>
              <w:t>1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年(不足1年则忽略)，得</w:t>
            </w:r>
            <w:r w:rsidRPr="003C3F28">
              <w:rPr>
                <w:rFonts w:ascii="宋体" w:hAnsi="宋体" w:cs="宋体"/>
                <w:sz w:val="22"/>
                <w:szCs w:val="22"/>
              </w:rPr>
              <w:t>2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分，最高得</w:t>
            </w:r>
            <w:r w:rsidRPr="003C3F28">
              <w:rPr>
                <w:rFonts w:ascii="宋体" w:hAnsi="宋体" w:cs="宋体"/>
                <w:sz w:val="22"/>
                <w:szCs w:val="22"/>
              </w:rPr>
              <w:t>4</w:t>
            </w:r>
            <w:r w:rsidRPr="003C3F28">
              <w:rPr>
                <w:rFonts w:ascii="宋体" w:hAnsi="宋体" w:cs="宋体" w:hint="eastAsia"/>
                <w:sz w:val="22"/>
                <w:szCs w:val="22"/>
              </w:rPr>
              <w:t>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07" w:rsidRPr="003C3F28" w:rsidRDefault="006462C7" w:rsidP="00D425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C3F28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bookmarkEnd w:id="0"/>
    </w:tbl>
    <w:p w:rsidR="0074439F" w:rsidRPr="003C3F28" w:rsidRDefault="0074439F"/>
    <w:sectPr w:rsidR="0074439F" w:rsidRPr="003C3F28" w:rsidSect="00AF430A">
      <w:pgSz w:w="11906" w:h="16838" w:code="9"/>
      <w:pgMar w:top="1418" w:right="851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6C02"/>
    <w:multiLevelType w:val="hybridMultilevel"/>
    <w:tmpl w:val="20D4EA22"/>
    <w:lvl w:ilvl="0" w:tplc="72989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D"/>
    <w:rsid w:val="00007B6B"/>
    <w:rsid w:val="000374C1"/>
    <w:rsid w:val="000673D7"/>
    <w:rsid w:val="000B724B"/>
    <w:rsid w:val="000C2151"/>
    <w:rsid w:val="000E4F39"/>
    <w:rsid w:val="00102A7E"/>
    <w:rsid w:val="00106BA4"/>
    <w:rsid w:val="0012681A"/>
    <w:rsid w:val="001310C1"/>
    <w:rsid w:val="00161031"/>
    <w:rsid w:val="00181D6C"/>
    <w:rsid w:val="001C304E"/>
    <w:rsid w:val="001D1AFC"/>
    <w:rsid w:val="001F083D"/>
    <w:rsid w:val="00213E0D"/>
    <w:rsid w:val="00216683"/>
    <w:rsid w:val="00263A6F"/>
    <w:rsid w:val="00274D53"/>
    <w:rsid w:val="00277E35"/>
    <w:rsid w:val="002A1FE7"/>
    <w:rsid w:val="002B4570"/>
    <w:rsid w:val="002B4839"/>
    <w:rsid w:val="002C4F5B"/>
    <w:rsid w:val="002D07A1"/>
    <w:rsid w:val="002F0A91"/>
    <w:rsid w:val="003503ED"/>
    <w:rsid w:val="00384D4B"/>
    <w:rsid w:val="003869FB"/>
    <w:rsid w:val="00396F26"/>
    <w:rsid w:val="003B50F4"/>
    <w:rsid w:val="003C3F28"/>
    <w:rsid w:val="003E1891"/>
    <w:rsid w:val="00441FC0"/>
    <w:rsid w:val="0047705E"/>
    <w:rsid w:val="004B2E56"/>
    <w:rsid w:val="00500DBB"/>
    <w:rsid w:val="005012BC"/>
    <w:rsid w:val="00530025"/>
    <w:rsid w:val="00542EEB"/>
    <w:rsid w:val="00544504"/>
    <w:rsid w:val="00556DFD"/>
    <w:rsid w:val="00583BDF"/>
    <w:rsid w:val="0059536F"/>
    <w:rsid w:val="005A5DDE"/>
    <w:rsid w:val="005E4BA3"/>
    <w:rsid w:val="006462C7"/>
    <w:rsid w:val="00695318"/>
    <w:rsid w:val="0071433F"/>
    <w:rsid w:val="00724FBF"/>
    <w:rsid w:val="00737F41"/>
    <w:rsid w:val="0074057F"/>
    <w:rsid w:val="0074439F"/>
    <w:rsid w:val="00772615"/>
    <w:rsid w:val="00793EF9"/>
    <w:rsid w:val="007A667E"/>
    <w:rsid w:val="007F1E3C"/>
    <w:rsid w:val="00807306"/>
    <w:rsid w:val="0082007D"/>
    <w:rsid w:val="00825607"/>
    <w:rsid w:val="0084172D"/>
    <w:rsid w:val="008C7AF4"/>
    <w:rsid w:val="00902A97"/>
    <w:rsid w:val="00916819"/>
    <w:rsid w:val="00926C98"/>
    <w:rsid w:val="00941F7E"/>
    <w:rsid w:val="0096038E"/>
    <w:rsid w:val="00966872"/>
    <w:rsid w:val="00A62F28"/>
    <w:rsid w:val="00A75F32"/>
    <w:rsid w:val="00A9390C"/>
    <w:rsid w:val="00AD39FE"/>
    <w:rsid w:val="00AF430A"/>
    <w:rsid w:val="00B165A4"/>
    <w:rsid w:val="00BA69F6"/>
    <w:rsid w:val="00BD3530"/>
    <w:rsid w:val="00C13A03"/>
    <w:rsid w:val="00C22A3B"/>
    <w:rsid w:val="00C300A7"/>
    <w:rsid w:val="00C77C15"/>
    <w:rsid w:val="00CB3B71"/>
    <w:rsid w:val="00CC7E3D"/>
    <w:rsid w:val="00D1408E"/>
    <w:rsid w:val="00D51F25"/>
    <w:rsid w:val="00D730AD"/>
    <w:rsid w:val="00D91496"/>
    <w:rsid w:val="00D9348E"/>
    <w:rsid w:val="00E218ED"/>
    <w:rsid w:val="00E269E9"/>
    <w:rsid w:val="00E42695"/>
    <w:rsid w:val="00E856AF"/>
    <w:rsid w:val="00E90797"/>
    <w:rsid w:val="00F23919"/>
    <w:rsid w:val="00FD298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C5CCC-61F6-438D-9325-C2743379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E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-Char">
    <w:name w:val="GW-正文 Char"/>
    <w:link w:val="GW-"/>
    <w:rsid w:val="00E856AF"/>
    <w:rPr>
      <w:rFonts w:ascii="Times New Roman" w:eastAsia="宋体" w:hAnsi="Times New Roman" w:cs="Times New Roman"/>
      <w:szCs w:val="24"/>
    </w:rPr>
  </w:style>
  <w:style w:type="paragraph" w:customStyle="1" w:styleId="GW-">
    <w:name w:val="GW-正文"/>
    <w:basedOn w:val="a"/>
    <w:link w:val="GW-Char"/>
    <w:rsid w:val="00E856AF"/>
    <w:pPr>
      <w:widowControl w:val="0"/>
      <w:spacing w:line="360" w:lineRule="auto"/>
      <w:ind w:firstLineChars="200" w:firstLine="200"/>
      <w:contextualSpacing/>
      <w:jc w:val="both"/>
    </w:pPr>
    <w:rPr>
      <w:kern w:val="2"/>
      <w:sz w:val="21"/>
    </w:rPr>
  </w:style>
  <w:style w:type="paragraph" w:styleId="a3">
    <w:name w:val="List Paragraph"/>
    <w:basedOn w:val="a"/>
    <w:uiPriority w:val="34"/>
    <w:qFormat/>
    <w:rsid w:val="002A1F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81BE-ACFE-4BD5-B9F6-C8C05FDF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邓辉东</dc:creator>
  <cp:lastModifiedBy>邓辉东</cp:lastModifiedBy>
  <cp:revision>27</cp:revision>
  <dcterms:created xsi:type="dcterms:W3CDTF">2020-07-10T06:17:00Z</dcterms:created>
  <dcterms:modified xsi:type="dcterms:W3CDTF">2020-07-11T00:33:00Z</dcterms:modified>
</cp:coreProperties>
</file>