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46232">
      <w:pPr>
        <w:spacing w:line="360" w:lineRule="auto"/>
        <w:jc w:val="left"/>
        <w:rPr>
          <w:rFonts w:hint="eastAsia" w:ascii="仿宋" w:hAnsi="仿宋" w:eastAsia="仿宋"/>
          <w:b/>
          <w:sz w:val="24"/>
        </w:rPr>
      </w:pPr>
      <w:r>
        <w:rPr>
          <w:rFonts w:hint="eastAsia" w:ascii="仿宋" w:hAnsi="仿宋" w:eastAsia="仿宋"/>
          <w:b/>
          <w:sz w:val="24"/>
        </w:rPr>
        <w:t>附件</w:t>
      </w:r>
      <w:r>
        <w:rPr>
          <w:rFonts w:hint="eastAsia" w:ascii="仿宋" w:hAnsi="仿宋" w:eastAsia="仿宋"/>
          <w:b/>
          <w:sz w:val="24"/>
          <w:lang w:val="en-US" w:eastAsia="zh-CN"/>
        </w:rPr>
        <w:t>三</w:t>
      </w:r>
      <w:r>
        <w:rPr>
          <w:rFonts w:hint="eastAsia" w:ascii="仿宋" w:hAnsi="仿宋" w:eastAsia="仿宋"/>
          <w:b/>
          <w:sz w:val="24"/>
        </w:rPr>
        <w:t>：</w:t>
      </w:r>
    </w:p>
    <w:p w14:paraId="79005F8C">
      <w:pPr>
        <w:pStyle w:val="4"/>
        <w:widowControl/>
        <w:numPr>
          <w:ilvl w:val="0"/>
          <w:numId w:val="0"/>
        </w:numPr>
        <w:spacing w:line="360" w:lineRule="auto"/>
        <w:ind w:leftChars="0" w:firstLine="420" w:firstLineChars="0"/>
        <w:jc w:val="left"/>
        <w:rPr>
          <w:rFonts w:hint="eastAsia" w:ascii="仿宋" w:hAnsi="仿宋" w:eastAsia="仿宋"/>
          <w:b/>
          <w:sz w:val="24"/>
          <w:lang w:val="en-US" w:eastAsia="zh-CN"/>
        </w:rPr>
      </w:pPr>
      <w:r>
        <w:rPr>
          <w:rFonts w:hint="eastAsia" w:ascii="仿宋" w:hAnsi="仿宋" w:eastAsia="仿宋"/>
          <w:b/>
          <w:sz w:val="24"/>
          <w:lang w:val="en-US" w:eastAsia="zh-CN"/>
        </w:rPr>
        <w:t>材质要求：</w:t>
      </w:r>
    </w:p>
    <w:p w14:paraId="4B44E6CD">
      <w:pPr>
        <w:pStyle w:val="4"/>
        <w:widowControl/>
        <w:numPr>
          <w:ilvl w:val="0"/>
          <w:numId w:val="0"/>
        </w:numPr>
        <w:spacing w:line="360" w:lineRule="auto"/>
        <w:ind w:leftChars="0" w:firstLine="420" w:firstLineChars="0"/>
        <w:jc w:val="left"/>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基材：优质环保中密度纤维板，符合GB/T11718-2021、GB/T39600-2021、GB/T35607-2017、JC/T 2039-2010、GB 8624-2012标准要求的检测报告其中静曲强度合格；弹性模量合格；内胶合强度合格；表面胶合强度合格；吸水厚度膨胀率合格；甲醛释放量（气候箱法）达E0级及以上；苯、甲苯、二甲苯、总挥发性有机化合物（TVOC）均未检出；表皮葡萄球菌抗菌性能≥96%；绳状青霉防霉性能达0级；燃烧性能等级B1级合格。</w:t>
      </w:r>
    </w:p>
    <w:p w14:paraId="5F8A0B81">
      <w:pPr>
        <w:widowControl/>
        <w:spacing w:line="360" w:lineRule="auto"/>
        <w:ind w:firstLine="420" w:firstLineChars="0"/>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2油漆：优质环保油漆，符合 HJ2537-2014、GB18581-2020、 GB/T 23999-2009、 GB/T 21866-2008、 HG/T 3950-2007标准要求的检测报告其中甲醛含量、总铅含量、可溶性重金属含量（镉含量、铬含量、汞含量）、乙二醇醚及醚酯的总和含量、苯系物总和含量、烷基酚聚氧乙烯醚总和含量均未检出；挥发性有机化合物（VOC）合格；在容器中状态、细度、不挥发物、涂膜外观、光泽、硬度（擦伤）、附着力、耐冲击性、抗粘连性、耐磨性、耐划伤性、耐污染性（醋、绿茶）、耐干热性、耐黄变性均合格；铜绿假单胞菌抗细菌性能≥93%、宛氏拟青霉抗霉性能达1级。</w:t>
      </w:r>
    </w:p>
    <w:p w14:paraId="7F84629B">
      <w:pPr>
        <w:widowControl/>
        <w:spacing w:line="360" w:lineRule="auto"/>
        <w:ind w:firstLine="420" w:firstLineChars="0"/>
        <w:jc w:val="left"/>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3</w:t>
      </w:r>
      <w:r>
        <w:rPr>
          <w:rFonts w:hint="eastAsia" w:ascii="仿宋" w:hAnsi="仿宋" w:eastAsia="仿宋" w:cs="Times New Roman"/>
          <w:kern w:val="2"/>
          <w:sz w:val="24"/>
          <w:szCs w:val="24"/>
          <w:lang w:val="en-US" w:eastAsia="zh-CN" w:bidi="ar-SA"/>
        </w:rPr>
        <w:t>台面、签字台及前挡板：采用优质复合亚克力人造石，检测依据符合JC/T908-2013标准，硬度符合技术要求；耐污、阻燃、抗冲击、无缝拼接、不易变色等性能；</w:t>
      </w:r>
    </w:p>
    <w:p w14:paraId="62E42EFC">
      <w:pPr>
        <w:widowControl/>
        <w:spacing w:line="360" w:lineRule="auto"/>
        <w:ind w:firstLine="420" w:firstLineChars="0"/>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 xml:space="preserve">4五金：锁具符合GB/T3325-2017、QB/T1621-2015、GB/T35607-2017标准要求的检测报告其中金属件外观（喷涂层）合格；保密度：锁舌伸出长度合格；牢固度：锁头固定连接静拉力、锁头固定连接扭矩均合格；灵活度：钥匙插拔、旋转、钥匙拔出静拉力、钥匙开启扭矩均合格；家具涂层可迁移元素8个均合格；导轨符合 QB/T 2454-2013、 QB/T3826-1999、 QB/T3827-1999、 QB/T3828-1999、 QB/T3832-1999标准要求的检测报告其中功能（耐久性（8万次）垂直向下静载荷、水平侧向静载荷）合格；中性盐雾18h合格；乙酸盐雾18h合格；铜盐加速乙酸盐雾18h合格。铰链符合GB/T3325-2017、QB/T 2189-2013 、QB/T 3832-1999 、QB/T3826-1999、QB/T3827-1999、QB/T3832-1999标准要求的检测报告其中金属件外观性能要求（电镀层）合格；功能：耐久性（8万次）合格、垂直静载荷20kg合格、水平静载荷40N合格；中性盐雾18h达10级；乙酸盐雾18h达10级；铜盐加速乙酸盐雾18h达10级。  </w:t>
      </w:r>
    </w:p>
    <w:p w14:paraId="4E7FAB1B">
      <w:pPr>
        <w:snapToGrid w:val="0"/>
        <w:spacing w:line="360" w:lineRule="auto"/>
        <w:ind w:left="480"/>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 xml:space="preserve">5踢脚线：采用1.0mm厚304拉丝不锈钢踢脚线。 </w:t>
      </w:r>
    </w:p>
    <w:p w14:paraId="30A19F9E">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配置：两个可移动柜体、三个三抽固定柜、八个带抽屉主机箱、七副键盘（抽屉、键盘两用）、签字台与台面之间每位冲两个86面板孔、台面下方围板内侧配隐藏式走线槽（每个工位冲4个86面板孔）、轮椅位围板内缩200mm、字体采用不干胶。</w:t>
      </w:r>
    </w:p>
    <w:p w14:paraId="62C7CC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sz w:val="24"/>
        </w:rPr>
      </w:pPr>
      <w:bookmarkStart w:id="0" w:name="_GoBack"/>
      <w:bookmarkEnd w:id="0"/>
      <w:r>
        <w:rPr>
          <w:rFonts w:hint="eastAsia" w:ascii="仿宋" w:hAnsi="仿宋" w:eastAsia="仿宋" w:cs="Times New Roman"/>
          <w:kern w:val="2"/>
          <w:sz w:val="24"/>
          <w:szCs w:val="24"/>
          <w:lang w:val="en-US" w:eastAsia="zh-CN" w:bidi="ar-SA"/>
        </w:rPr>
        <w:t>报价要求：报价含税费、运费、卸货费、包含旧咨</w:t>
      </w:r>
      <w:r>
        <w:rPr>
          <w:rFonts w:hint="eastAsia" w:ascii="仿宋" w:hAnsi="仿宋" w:eastAsia="仿宋" w:cs="Times New Roman"/>
          <w:sz w:val="24"/>
        </w:rPr>
        <w:t>询台拆除费用</w:t>
      </w:r>
      <w:r>
        <w:rPr>
          <w:rFonts w:hint="eastAsia" w:ascii="仿宋" w:hAnsi="仿宋" w:eastAsia="仿宋"/>
          <w:sz w:val="24"/>
        </w:rPr>
        <w:t>等</w:t>
      </w:r>
      <w:r>
        <w:rPr>
          <w:rFonts w:ascii="仿宋" w:hAnsi="仿宋" w:eastAsia="仿宋"/>
          <w:sz w:val="24"/>
        </w:rPr>
        <w:t>一切费用</w:t>
      </w:r>
      <w:r>
        <w:rPr>
          <w:rFonts w:hint="eastAsia" w:ascii="仿宋" w:hAnsi="仿宋" w:eastAsia="仿宋"/>
          <w:sz w:val="24"/>
        </w:rPr>
        <w:t>，请各投标单位，根据院方需求提供款式及质量要求进行报价（含税及运费等费用）。（投标单位报价明显高于市场价格的，做废标处理）</w:t>
      </w:r>
    </w:p>
    <w:p w14:paraId="1D0EA1F4">
      <w:pPr>
        <w:spacing w:line="360" w:lineRule="auto"/>
        <w:jc w:val="left"/>
        <w:rPr>
          <w:rFonts w:hint="eastAsia" w:ascii="仿宋" w:hAnsi="仿宋" w:eastAsia="仿宋"/>
          <w:b/>
          <w:sz w:val="24"/>
          <w:lang w:val="en-US" w:eastAsia="zh-CN"/>
        </w:rPr>
      </w:pPr>
    </w:p>
    <w:p w14:paraId="6E899766">
      <w:pPr>
        <w:spacing w:line="360" w:lineRule="auto"/>
        <w:jc w:val="center"/>
        <w:rPr>
          <w:rFonts w:ascii="仿宋" w:hAnsi="仿宋" w:eastAsia="仿宋"/>
          <w:b/>
          <w:sz w:val="36"/>
          <w:szCs w:val="36"/>
        </w:rPr>
      </w:pPr>
      <w:r>
        <w:rPr>
          <w:rFonts w:hint="eastAsia" w:ascii="仿宋" w:hAnsi="仿宋" w:eastAsia="仿宋"/>
          <w:b/>
          <w:sz w:val="36"/>
          <w:szCs w:val="36"/>
          <w:lang w:val="en-US" w:eastAsia="zh-CN"/>
        </w:rPr>
        <w:t>门诊吧台</w:t>
      </w:r>
      <w:r>
        <w:rPr>
          <w:rFonts w:hint="eastAsia" w:ascii="仿宋" w:hAnsi="仿宋" w:eastAsia="仿宋"/>
          <w:b/>
          <w:sz w:val="36"/>
          <w:szCs w:val="36"/>
        </w:rPr>
        <w:t>招标项目评分细则</w:t>
      </w:r>
    </w:p>
    <w:p w14:paraId="15C9BABD">
      <w:pPr>
        <w:spacing w:line="360" w:lineRule="auto"/>
        <w:jc w:val="center"/>
        <w:rPr>
          <w:rFonts w:ascii="仿宋" w:hAnsi="仿宋" w:eastAsia="仿宋"/>
          <w:sz w:val="24"/>
        </w:rPr>
      </w:pPr>
      <w:r>
        <w:rPr>
          <w:rFonts w:hint="eastAsia" w:ascii="仿宋" w:hAnsi="仿宋" w:eastAsia="仿宋"/>
          <w:sz w:val="24"/>
        </w:rPr>
        <w:t>（综合评分法）</w:t>
      </w:r>
    </w:p>
    <w:p w14:paraId="0E35409F">
      <w:pPr>
        <w:spacing w:line="360" w:lineRule="auto"/>
        <w:jc w:val="left"/>
        <w:rPr>
          <w:rFonts w:ascii="仿宋" w:hAnsi="仿宋" w:eastAsia="仿宋"/>
          <w:sz w:val="24"/>
        </w:rPr>
      </w:pPr>
      <w:r>
        <w:rPr>
          <w:rFonts w:hint="eastAsia" w:ascii="仿宋" w:hAnsi="仿宋" w:eastAsia="仿宋"/>
          <w:sz w:val="24"/>
        </w:rPr>
        <w:t>一、综合得分权重分配</w:t>
      </w:r>
    </w:p>
    <w:tbl>
      <w:tblPr>
        <w:tblStyle w:val="2"/>
        <w:tblW w:w="6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tblGrid>
      <w:tr w14:paraId="7F55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30" w:type="dxa"/>
            <w:noWrap w:val="0"/>
            <w:vAlign w:val="center"/>
          </w:tcPr>
          <w:p w14:paraId="27741129">
            <w:pPr>
              <w:spacing w:line="360" w:lineRule="auto"/>
              <w:jc w:val="center"/>
              <w:rPr>
                <w:rFonts w:ascii="仿宋" w:hAnsi="仿宋" w:eastAsia="仿宋"/>
                <w:b/>
                <w:sz w:val="24"/>
              </w:rPr>
            </w:pPr>
            <w:r>
              <w:rPr>
                <w:rFonts w:hint="eastAsia" w:ascii="仿宋" w:hAnsi="仿宋" w:eastAsia="仿宋"/>
                <w:b/>
                <w:sz w:val="24"/>
              </w:rPr>
              <w:t>评审项目</w:t>
            </w:r>
          </w:p>
        </w:tc>
        <w:tc>
          <w:tcPr>
            <w:tcW w:w="2130" w:type="dxa"/>
            <w:noWrap w:val="0"/>
            <w:vAlign w:val="center"/>
          </w:tcPr>
          <w:p w14:paraId="0F44B029">
            <w:pPr>
              <w:spacing w:line="360" w:lineRule="auto"/>
              <w:jc w:val="center"/>
              <w:rPr>
                <w:rFonts w:hint="eastAsia" w:ascii="仿宋" w:hAnsi="仿宋" w:eastAsia="仿宋"/>
                <w:b/>
                <w:sz w:val="24"/>
              </w:rPr>
            </w:pPr>
            <w:r>
              <w:rPr>
                <w:rFonts w:hint="eastAsia" w:ascii="仿宋" w:hAnsi="仿宋" w:eastAsia="仿宋"/>
                <w:b/>
                <w:sz w:val="24"/>
              </w:rPr>
              <w:t>商务</w:t>
            </w:r>
          </w:p>
        </w:tc>
        <w:tc>
          <w:tcPr>
            <w:tcW w:w="2131" w:type="dxa"/>
            <w:noWrap w:val="0"/>
            <w:vAlign w:val="center"/>
          </w:tcPr>
          <w:p w14:paraId="73106839">
            <w:pPr>
              <w:spacing w:line="360" w:lineRule="auto"/>
              <w:jc w:val="center"/>
              <w:rPr>
                <w:rFonts w:ascii="仿宋" w:hAnsi="仿宋" w:eastAsia="仿宋"/>
                <w:b/>
                <w:sz w:val="24"/>
              </w:rPr>
            </w:pPr>
            <w:r>
              <w:rPr>
                <w:rFonts w:hint="eastAsia" w:ascii="仿宋" w:hAnsi="仿宋" w:eastAsia="仿宋"/>
                <w:b/>
                <w:sz w:val="24"/>
              </w:rPr>
              <w:t>技术</w:t>
            </w:r>
          </w:p>
        </w:tc>
      </w:tr>
      <w:tr w14:paraId="64A8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130" w:type="dxa"/>
            <w:noWrap w:val="0"/>
            <w:vAlign w:val="center"/>
          </w:tcPr>
          <w:p w14:paraId="7F7D8908">
            <w:pPr>
              <w:spacing w:line="360" w:lineRule="auto"/>
              <w:jc w:val="center"/>
              <w:rPr>
                <w:rFonts w:ascii="仿宋" w:hAnsi="仿宋" w:eastAsia="仿宋"/>
                <w:sz w:val="24"/>
              </w:rPr>
            </w:pPr>
            <w:r>
              <w:rPr>
                <w:rFonts w:hint="eastAsia" w:ascii="仿宋" w:hAnsi="仿宋" w:eastAsia="仿宋"/>
                <w:sz w:val="24"/>
              </w:rPr>
              <w:t>评标权重</w:t>
            </w:r>
          </w:p>
        </w:tc>
        <w:tc>
          <w:tcPr>
            <w:tcW w:w="2130" w:type="dxa"/>
            <w:noWrap w:val="0"/>
            <w:vAlign w:val="center"/>
          </w:tcPr>
          <w:p w14:paraId="0FA47B57">
            <w:pPr>
              <w:spacing w:line="360" w:lineRule="auto"/>
              <w:jc w:val="center"/>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0%</w:t>
            </w:r>
          </w:p>
        </w:tc>
        <w:tc>
          <w:tcPr>
            <w:tcW w:w="2131" w:type="dxa"/>
            <w:noWrap w:val="0"/>
            <w:vAlign w:val="center"/>
          </w:tcPr>
          <w:p w14:paraId="51FF5223">
            <w:pPr>
              <w:spacing w:line="360" w:lineRule="auto"/>
              <w:jc w:val="center"/>
              <w:rPr>
                <w:rFonts w:ascii="仿宋" w:hAnsi="仿宋" w:eastAsia="仿宋"/>
                <w:sz w:val="24"/>
              </w:rPr>
            </w:pPr>
            <w:r>
              <w:rPr>
                <w:rFonts w:hint="eastAsia" w:ascii="仿宋" w:hAnsi="仿宋" w:eastAsia="仿宋"/>
                <w:sz w:val="24"/>
                <w:lang w:val="en-US" w:eastAsia="zh-CN"/>
              </w:rPr>
              <w:t>7</w:t>
            </w:r>
            <w:r>
              <w:rPr>
                <w:rFonts w:hint="eastAsia" w:ascii="仿宋" w:hAnsi="仿宋" w:eastAsia="仿宋"/>
                <w:sz w:val="24"/>
              </w:rPr>
              <w:t>0%</w:t>
            </w:r>
          </w:p>
        </w:tc>
      </w:tr>
    </w:tbl>
    <w:p w14:paraId="00C0B925">
      <w:pPr>
        <w:numPr>
          <w:ilvl w:val="0"/>
          <w:numId w:val="1"/>
        </w:numPr>
        <w:spacing w:line="360" w:lineRule="auto"/>
        <w:jc w:val="left"/>
        <w:rPr>
          <w:rFonts w:ascii="仿宋" w:hAnsi="仿宋" w:eastAsia="仿宋"/>
          <w:b/>
          <w:sz w:val="24"/>
        </w:rPr>
      </w:pPr>
      <w:r>
        <w:rPr>
          <w:rFonts w:hint="eastAsia" w:ascii="仿宋" w:hAnsi="仿宋" w:eastAsia="仿宋"/>
          <w:sz w:val="24"/>
        </w:rPr>
        <w:t>评分因素及标准</w:t>
      </w:r>
    </w:p>
    <w:p w14:paraId="328612A6">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仿宋" w:hAnsi="仿宋" w:eastAsia="仿宋"/>
          <w:sz w:val="24"/>
        </w:rPr>
      </w:pPr>
      <w:r>
        <w:rPr>
          <w:rFonts w:hint="eastAsia" w:ascii="仿宋" w:hAnsi="仿宋" w:eastAsia="仿宋" w:cs="Times New Roman"/>
          <w:sz w:val="24"/>
          <w:lang w:val="en-US" w:eastAsia="zh-CN"/>
        </w:rPr>
        <w:t>价</w:t>
      </w:r>
      <w:r>
        <w:rPr>
          <w:rFonts w:hint="eastAsia" w:ascii="仿宋" w:hAnsi="仿宋" w:eastAsia="仿宋" w:cs="Times New Roman"/>
          <w:sz w:val="24"/>
        </w:rPr>
        <w:t>格分统一采用低价优先法计算，即满足磋商文件要求且最后报价最低的供应商的价格为磋商基准价，其价格分为满分。其他供应商的价格分统一按照下列公式计算：  磋商报价得分=（磋商基准价/最后磋商报价）×价格权值×100</w:t>
      </w:r>
    </w:p>
    <w:p w14:paraId="304695AD">
      <w:pPr>
        <w:spacing w:line="360" w:lineRule="auto"/>
        <w:jc w:val="center"/>
        <w:rPr>
          <w:rFonts w:ascii="仿宋" w:hAnsi="仿宋" w:eastAsia="仿宋"/>
          <w:b/>
          <w:sz w:val="24"/>
        </w:rPr>
      </w:pPr>
      <w:r>
        <w:rPr>
          <w:rFonts w:hint="eastAsia" w:ascii="仿宋" w:hAnsi="仿宋" w:eastAsia="仿宋"/>
          <w:b/>
          <w:sz w:val="24"/>
        </w:rPr>
        <w:t>评分细则表</w:t>
      </w:r>
    </w:p>
    <w:p w14:paraId="3D30F915">
      <w:pPr>
        <w:spacing w:line="360" w:lineRule="auto"/>
        <w:jc w:val="left"/>
        <w:rPr>
          <w:rFonts w:hint="eastAsia" w:ascii="仿宋" w:hAnsi="仿宋" w:eastAsia="仿宋" w:cs="Times New Roman"/>
          <w:sz w:val="24"/>
        </w:rPr>
      </w:pPr>
    </w:p>
    <w:tbl>
      <w:tblPr>
        <w:tblStyle w:val="2"/>
        <w:tblW w:w="9306" w:type="dxa"/>
        <w:tblInd w:w="93" w:type="dxa"/>
        <w:tblLayout w:type="fixed"/>
        <w:tblCellMar>
          <w:top w:w="0" w:type="dxa"/>
          <w:left w:w="108" w:type="dxa"/>
          <w:bottom w:w="0" w:type="dxa"/>
          <w:right w:w="108" w:type="dxa"/>
        </w:tblCellMar>
      </w:tblPr>
      <w:tblGrid>
        <w:gridCol w:w="666"/>
        <w:gridCol w:w="1350"/>
        <w:gridCol w:w="551"/>
        <w:gridCol w:w="6739"/>
      </w:tblGrid>
      <w:tr w14:paraId="4CB0B052">
        <w:tblPrEx>
          <w:tblCellMar>
            <w:top w:w="0" w:type="dxa"/>
            <w:left w:w="108" w:type="dxa"/>
            <w:bottom w:w="0" w:type="dxa"/>
            <w:right w:w="108" w:type="dxa"/>
          </w:tblCellMar>
        </w:tblPrEx>
        <w:trPr>
          <w:trHeight w:val="753" w:hRule="atLeast"/>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132D26BC">
            <w:pPr>
              <w:spacing w:line="360" w:lineRule="auto"/>
              <w:jc w:val="left"/>
              <w:rPr>
                <w:rFonts w:hint="eastAsia" w:ascii="仿宋" w:hAnsi="仿宋" w:eastAsia="仿宋" w:cs="Times New Roman"/>
                <w:sz w:val="24"/>
              </w:rPr>
            </w:pPr>
            <w:r>
              <w:rPr>
                <w:rFonts w:hint="eastAsia" w:ascii="仿宋" w:hAnsi="仿宋" w:eastAsia="仿宋" w:cs="Times New Roman"/>
                <w:sz w:val="24"/>
              </w:rPr>
              <w:t>序号</w:t>
            </w:r>
          </w:p>
        </w:tc>
        <w:tc>
          <w:tcPr>
            <w:tcW w:w="1350" w:type="dxa"/>
            <w:tcBorders>
              <w:top w:val="single" w:color="auto" w:sz="4" w:space="0"/>
              <w:left w:val="nil"/>
              <w:bottom w:val="single" w:color="auto" w:sz="4" w:space="0"/>
              <w:right w:val="single" w:color="auto" w:sz="4" w:space="0"/>
            </w:tcBorders>
            <w:shd w:val="clear" w:color="auto" w:fill="auto"/>
            <w:vAlign w:val="center"/>
          </w:tcPr>
          <w:p w14:paraId="22E5F2C7">
            <w:pPr>
              <w:spacing w:line="360" w:lineRule="auto"/>
              <w:jc w:val="left"/>
              <w:rPr>
                <w:rFonts w:hint="eastAsia" w:ascii="仿宋" w:hAnsi="仿宋" w:eastAsia="仿宋" w:cs="Times New Roman"/>
                <w:sz w:val="24"/>
              </w:rPr>
            </w:pPr>
            <w:r>
              <w:rPr>
                <w:rFonts w:hint="eastAsia" w:ascii="仿宋" w:hAnsi="仿宋" w:eastAsia="仿宋" w:cs="Times New Roman"/>
                <w:sz w:val="24"/>
              </w:rPr>
              <w:t>评分点名称</w:t>
            </w:r>
          </w:p>
        </w:tc>
        <w:tc>
          <w:tcPr>
            <w:tcW w:w="551" w:type="dxa"/>
            <w:tcBorders>
              <w:top w:val="single" w:color="auto" w:sz="4" w:space="0"/>
              <w:left w:val="nil"/>
              <w:bottom w:val="single" w:color="auto" w:sz="4" w:space="0"/>
              <w:right w:val="single" w:color="auto" w:sz="4" w:space="0"/>
            </w:tcBorders>
            <w:shd w:val="clear" w:color="auto" w:fill="auto"/>
            <w:vAlign w:val="center"/>
          </w:tcPr>
          <w:p w14:paraId="79CE247D">
            <w:pPr>
              <w:spacing w:line="360" w:lineRule="auto"/>
              <w:jc w:val="left"/>
              <w:rPr>
                <w:rFonts w:hint="eastAsia" w:ascii="仿宋" w:hAnsi="仿宋" w:eastAsia="仿宋" w:cs="Times New Roman"/>
                <w:sz w:val="24"/>
              </w:rPr>
            </w:pPr>
            <w:r>
              <w:rPr>
                <w:rFonts w:hint="eastAsia" w:ascii="仿宋" w:hAnsi="仿宋" w:eastAsia="仿宋" w:cs="Times New Roman"/>
                <w:sz w:val="24"/>
              </w:rPr>
              <w:t>分值</w:t>
            </w:r>
          </w:p>
        </w:tc>
        <w:tc>
          <w:tcPr>
            <w:tcW w:w="6739" w:type="dxa"/>
            <w:tcBorders>
              <w:top w:val="single" w:color="auto" w:sz="4" w:space="0"/>
              <w:left w:val="nil"/>
              <w:bottom w:val="single" w:color="auto" w:sz="4" w:space="0"/>
              <w:right w:val="single" w:color="auto" w:sz="4" w:space="0"/>
            </w:tcBorders>
            <w:shd w:val="clear" w:color="auto" w:fill="auto"/>
            <w:vAlign w:val="center"/>
          </w:tcPr>
          <w:p w14:paraId="4D486B06">
            <w:pPr>
              <w:spacing w:line="360" w:lineRule="auto"/>
              <w:jc w:val="left"/>
              <w:rPr>
                <w:rFonts w:hint="eastAsia" w:ascii="仿宋" w:hAnsi="仿宋" w:eastAsia="仿宋" w:cs="Times New Roman"/>
                <w:sz w:val="24"/>
              </w:rPr>
            </w:pPr>
            <w:r>
              <w:rPr>
                <w:rFonts w:hint="eastAsia" w:ascii="仿宋" w:hAnsi="仿宋" w:eastAsia="仿宋" w:cs="Times New Roman"/>
                <w:sz w:val="24"/>
              </w:rPr>
              <w:t>评审标准</w:t>
            </w:r>
          </w:p>
        </w:tc>
      </w:tr>
      <w:tr w14:paraId="5119C262">
        <w:tblPrEx>
          <w:tblCellMar>
            <w:top w:w="0" w:type="dxa"/>
            <w:left w:w="108" w:type="dxa"/>
            <w:bottom w:w="0" w:type="dxa"/>
            <w:right w:w="108" w:type="dxa"/>
          </w:tblCellMar>
        </w:tblPrEx>
        <w:trPr>
          <w:trHeight w:val="90" w:hRule="atLeast"/>
        </w:trPr>
        <w:tc>
          <w:tcPr>
            <w:tcW w:w="666" w:type="dxa"/>
            <w:tcBorders>
              <w:top w:val="nil"/>
              <w:left w:val="single" w:color="auto" w:sz="4" w:space="0"/>
              <w:bottom w:val="single" w:color="auto" w:sz="4" w:space="0"/>
              <w:right w:val="single" w:color="auto" w:sz="4" w:space="0"/>
            </w:tcBorders>
            <w:shd w:val="clear" w:color="auto" w:fill="auto"/>
            <w:vAlign w:val="center"/>
          </w:tcPr>
          <w:p w14:paraId="6AB372F6">
            <w:pPr>
              <w:spacing w:line="360" w:lineRule="auto"/>
              <w:jc w:val="left"/>
              <w:rPr>
                <w:rFonts w:hint="eastAsia" w:ascii="仿宋" w:hAnsi="仿宋" w:eastAsia="仿宋" w:cs="Times New Roman"/>
                <w:sz w:val="24"/>
              </w:rPr>
            </w:pPr>
            <w:r>
              <w:rPr>
                <w:rFonts w:hint="eastAsia" w:ascii="仿宋" w:hAnsi="仿宋" w:eastAsia="仿宋" w:cs="Times New Roman"/>
                <w:sz w:val="24"/>
              </w:rPr>
              <w:t>1</w:t>
            </w:r>
          </w:p>
        </w:tc>
        <w:tc>
          <w:tcPr>
            <w:tcW w:w="1350" w:type="dxa"/>
            <w:tcBorders>
              <w:top w:val="nil"/>
              <w:left w:val="nil"/>
              <w:bottom w:val="single" w:color="auto" w:sz="4" w:space="0"/>
              <w:right w:val="single" w:color="auto" w:sz="4" w:space="0"/>
            </w:tcBorders>
            <w:shd w:val="clear" w:color="auto" w:fill="auto"/>
            <w:vAlign w:val="center"/>
          </w:tcPr>
          <w:p w14:paraId="3FCAB935">
            <w:pPr>
              <w:spacing w:line="360" w:lineRule="auto"/>
              <w:jc w:val="left"/>
              <w:rPr>
                <w:rFonts w:hint="eastAsia" w:ascii="仿宋" w:hAnsi="仿宋" w:eastAsia="仿宋" w:cs="Times New Roman"/>
                <w:sz w:val="24"/>
              </w:rPr>
            </w:pPr>
            <w:r>
              <w:rPr>
                <w:rFonts w:hint="eastAsia" w:ascii="仿宋" w:hAnsi="仿宋" w:eastAsia="仿宋" w:cs="Times New Roman"/>
                <w:sz w:val="24"/>
              </w:rPr>
              <w:t>企业认证</w:t>
            </w:r>
          </w:p>
        </w:tc>
        <w:tc>
          <w:tcPr>
            <w:tcW w:w="551" w:type="dxa"/>
            <w:tcBorders>
              <w:top w:val="nil"/>
              <w:left w:val="nil"/>
              <w:bottom w:val="single" w:color="auto" w:sz="4" w:space="0"/>
              <w:right w:val="single" w:color="auto" w:sz="4" w:space="0"/>
            </w:tcBorders>
            <w:shd w:val="clear" w:color="auto" w:fill="auto"/>
            <w:vAlign w:val="center"/>
          </w:tcPr>
          <w:p w14:paraId="6BBFA544">
            <w:pPr>
              <w:spacing w:line="360" w:lineRule="auto"/>
              <w:jc w:val="left"/>
              <w:rPr>
                <w:rFonts w:hint="eastAsia" w:ascii="仿宋" w:hAnsi="仿宋" w:eastAsia="仿宋" w:cs="Times New Roman"/>
                <w:sz w:val="24"/>
              </w:rPr>
            </w:pPr>
            <w:r>
              <w:rPr>
                <w:rFonts w:hint="eastAsia" w:ascii="仿宋" w:hAnsi="仿宋" w:eastAsia="仿宋" w:cs="Times New Roman"/>
                <w:sz w:val="24"/>
              </w:rPr>
              <w:t>16</w:t>
            </w:r>
          </w:p>
        </w:tc>
        <w:tc>
          <w:tcPr>
            <w:tcW w:w="6739" w:type="dxa"/>
            <w:tcBorders>
              <w:top w:val="nil"/>
              <w:left w:val="nil"/>
              <w:bottom w:val="single" w:color="auto" w:sz="4" w:space="0"/>
              <w:right w:val="single" w:color="auto" w:sz="4" w:space="0"/>
            </w:tcBorders>
            <w:shd w:val="clear" w:color="auto" w:fill="auto"/>
            <w:vAlign w:val="center"/>
          </w:tcPr>
          <w:p w14:paraId="43B137C8">
            <w:pPr>
              <w:spacing w:line="360" w:lineRule="auto"/>
              <w:jc w:val="left"/>
              <w:rPr>
                <w:rFonts w:hint="eastAsia" w:ascii="仿宋" w:hAnsi="仿宋" w:eastAsia="仿宋" w:cs="Times New Roman"/>
                <w:sz w:val="24"/>
              </w:rPr>
            </w:pPr>
            <w:r>
              <w:rPr>
                <w:rFonts w:hint="eastAsia" w:ascii="仿宋" w:hAnsi="仿宋" w:eastAsia="仿宋" w:cs="Times New Roman"/>
                <w:sz w:val="24"/>
              </w:rPr>
              <w:t>1.提供投标人或授权生产商具有有效期内的ISO9001质量管理体系认证、ISO14001环境管理体系认证、ISO45001职业健康安全管理体系认证证书。每提供一个符合认证范围要求的证书得1分，最多得3分。</w:t>
            </w:r>
            <w:r>
              <w:rPr>
                <w:rFonts w:hint="eastAsia" w:ascii="仿宋" w:hAnsi="仿宋" w:eastAsia="仿宋" w:cs="Times New Roman"/>
                <w:sz w:val="24"/>
              </w:rPr>
              <w:br w:type="textWrapping"/>
            </w:r>
            <w:r>
              <w:rPr>
                <w:rFonts w:hint="eastAsia" w:ascii="仿宋" w:hAnsi="仿宋" w:eastAsia="仿宋" w:cs="Times New Roman"/>
                <w:sz w:val="24"/>
              </w:rPr>
              <w:t>2.提供投标人或授权生产商具有有效期内中国绿色产品认证证书得2分。</w:t>
            </w:r>
            <w:r>
              <w:rPr>
                <w:rFonts w:hint="eastAsia" w:ascii="仿宋" w:hAnsi="仿宋" w:eastAsia="仿宋" w:cs="Times New Roman"/>
                <w:sz w:val="24"/>
              </w:rPr>
              <w:br w:type="textWrapping"/>
            </w:r>
            <w:r>
              <w:rPr>
                <w:rFonts w:hint="eastAsia" w:ascii="仿宋" w:hAnsi="仿宋" w:eastAsia="仿宋" w:cs="Times New Roman"/>
                <w:sz w:val="24"/>
              </w:rPr>
              <w:t xml:space="preserve">3.提供投标人或授权生产商具有有效期内安全生产标准化认证得2分。                                                                       4.提供投标人或授权生产商获得有效期内的产品阻燃等级认证证书得3分。      </w:t>
            </w:r>
            <w:r>
              <w:rPr>
                <w:rFonts w:hint="eastAsia" w:ascii="仿宋" w:hAnsi="仿宋" w:eastAsia="仿宋" w:cs="Times New Roman"/>
                <w:sz w:val="24"/>
              </w:rPr>
              <w:br w:type="textWrapping"/>
            </w:r>
            <w:r>
              <w:rPr>
                <w:rFonts w:hint="eastAsia" w:ascii="仿宋" w:hAnsi="仿宋" w:eastAsia="仿宋" w:cs="Times New Roman"/>
                <w:sz w:val="24"/>
              </w:rPr>
              <w:t>5.提供投标人或授权生产商具有有效期内的NECAS家具安装实施能力资质认证证书得3分。</w:t>
            </w:r>
          </w:p>
          <w:p w14:paraId="7D2BF38A">
            <w:pPr>
              <w:spacing w:line="360" w:lineRule="auto"/>
              <w:jc w:val="left"/>
              <w:rPr>
                <w:rFonts w:hint="eastAsia" w:ascii="仿宋" w:hAnsi="仿宋" w:eastAsia="仿宋" w:cs="Times New Roman"/>
                <w:sz w:val="24"/>
              </w:rPr>
            </w:pPr>
            <w:r>
              <w:rPr>
                <w:rFonts w:hint="eastAsia" w:ascii="仿宋" w:hAnsi="仿宋" w:eastAsia="仿宋" w:cs="Times New Roman"/>
                <w:sz w:val="24"/>
              </w:rPr>
              <w:t>6.提供投标人或授权生产商具有中国合格评定国家认可委员会（CNAS）颁发的：符合ISO/IEC 17025:2017标准的“中国合格评定国家认可委员会实验室认可证书”。此项符合得3分，不符合或不提供者不得分。</w:t>
            </w:r>
            <w:r>
              <w:rPr>
                <w:rFonts w:hint="eastAsia" w:ascii="仿宋" w:hAnsi="仿宋" w:eastAsia="仿宋" w:cs="Times New Roman"/>
                <w:sz w:val="24"/>
              </w:rPr>
              <w:br w:type="textWrapping"/>
            </w:r>
            <w:r>
              <w:rPr>
                <w:rFonts w:hint="eastAsia" w:ascii="仿宋" w:hAnsi="仿宋" w:eastAsia="仿宋" w:cs="Times New Roman"/>
                <w:sz w:val="24"/>
              </w:rPr>
              <w:t>（提供证书复印件并加盖投标人公章，同时提供全国认证认可信息公共服务平台查询截图。）</w:t>
            </w:r>
          </w:p>
        </w:tc>
      </w:tr>
      <w:tr w14:paraId="7787021A">
        <w:tblPrEx>
          <w:tblCellMar>
            <w:top w:w="0" w:type="dxa"/>
            <w:left w:w="108" w:type="dxa"/>
            <w:bottom w:w="0" w:type="dxa"/>
            <w:right w:w="108" w:type="dxa"/>
          </w:tblCellMar>
        </w:tblPrEx>
        <w:trPr>
          <w:trHeight w:val="1517" w:hRule="atLeast"/>
        </w:trPr>
        <w:tc>
          <w:tcPr>
            <w:tcW w:w="666" w:type="dxa"/>
            <w:tcBorders>
              <w:top w:val="nil"/>
              <w:left w:val="single" w:color="auto" w:sz="4" w:space="0"/>
              <w:bottom w:val="single" w:color="auto" w:sz="4" w:space="0"/>
              <w:right w:val="single" w:color="auto" w:sz="4" w:space="0"/>
            </w:tcBorders>
            <w:shd w:val="clear" w:color="auto" w:fill="auto"/>
            <w:vAlign w:val="center"/>
          </w:tcPr>
          <w:p w14:paraId="118DEB5F">
            <w:pPr>
              <w:spacing w:line="360" w:lineRule="auto"/>
              <w:jc w:val="left"/>
              <w:rPr>
                <w:rFonts w:hint="eastAsia" w:ascii="仿宋" w:hAnsi="仿宋" w:eastAsia="仿宋" w:cs="Times New Roman"/>
                <w:sz w:val="24"/>
              </w:rPr>
            </w:pPr>
            <w:r>
              <w:rPr>
                <w:rFonts w:hint="eastAsia" w:ascii="仿宋" w:hAnsi="仿宋" w:eastAsia="仿宋" w:cs="Times New Roman"/>
                <w:sz w:val="24"/>
              </w:rPr>
              <w:t>2</w:t>
            </w:r>
          </w:p>
        </w:tc>
        <w:tc>
          <w:tcPr>
            <w:tcW w:w="1350" w:type="dxa"/>
            <w:tcBorders>
              <w:top w:val="nil"/>
              <w:left w:val="nil"/>
              <w:bottom w:val="single" w:color="auto" w:sz="4" w:space="0"/>
              <w:right w:val="single" w:color="auto" w:sz="4" w:space="0"/>
            </w:tcBorders>
            <w:shd w:val="clear" w:color="auto" w:fill="auto"/>
            <w:noWrap/>
            <w:vAlign w:val="center"/>
          </w:tcPr>
          <w:p w14:paraId="1D7991CB">
            <w:pPr>
              <w:spacing w:line="360" w:lineRule="auto"/>
              <w:jc w:val="left"/>
              <w:rPr>
                <w:rFonts w:hint="eastAsia" w:ascii="仿宋" w:hAnsi="仿宋" w:eastAsia="仿宋" w:cs="Times New Roman"/>
                <w:sz w:val="24"/>
              </w:rPr>
            </w:pPr>
            <w:r>
              <w:rPr>
                <w:rFonts w:hint="eastAsia" w:ascii="仿宋" w:hAnsi="仿宋" w:eastAsia="仿宋" w:cs="Times New Roman"/>
                <w:sz w:val="24"/>
              </w:rPr>
              <w:t>产品技术参数（检测报告）</w:t>
            </w:r>
          </w:p>
        </w:tc>
        <w:tc>
          <w:tcPr>
            <w:tcW w:w="551" w:type="dxa"/>
            <w:tcBorders>
              <w:top w:val="nil"/>
              <w:left w:val="nil"/>
              <w:bottom w:val="single" w:color="auto" w:sz="4" w:space="0"/>
              <w:right w:val="single" w:color="auto" w:sz="4" w:space="0"/>
            </w:tcBorders>
            <w:shd w:val="clear" w:color="auto" w:fill="auto"/>
            <w:vAlign w:val="center"/>
          </w:tcPr>
          <w:p w14:paraId="58E7B614">
            <w:pPr>
              <w:spacing w:line="360" w:lineRule="auto"/>
              <w:jc w:val="left"/>
              <w:rPr>
                <w:rFonts w:hint="eastAsia" w:ascii="仿宋" w:hAnsi="仿宋" w:eastAsia="仿宋" w:cs="Times New Roman"/>
                <w:sz w:val="24"/>
              </w:rPr>
            </w:pPr>
            <w:r>
              <w:rPr>
                <w:rFonts w:hint="eastAsia" w:ascii="仿宋" w:hAnsi="仿宋" w:eastAsia="仿宋" w:cs="Times New Roman"/>
                <w:sz w:val="24"/>
              </w:rPr>
              <w:t>18</w:t>
            </w:r>
          </w:p>
        </w:tc>
        <w:tc>
          <w:tcPr>
            <w:tcW w:w="6739" w:type="dxa"/>
            <w:tcBorders>
              <w:top w:val="nil"/>
              <w:left w:val="nil"/>
              <w:bottom w:val="single" w:color="auto" w:sz="4" w:space="0"/>
              <w:right w:val="single" w:color="auto" w:sz="4" w:space="0"/>
            </w:tcBorders>
            <w:shd w:val="clear" w:color="auto" w:fill="auto"/>
            <w:vAlign w:val="center"/>
          </w:tcPr>
          <w:p w14:paraId="610607F8">
            <w:pPr>
              <w:spacing w:line="360" w:lineRule="auto"/>
              <w:jc w:val="left"/>
              <w:rPr>
                <w:rFonts w:hint="eastAsia" w:ascii="仿宋" w:hAnsi="仿宋" w:eastAsia="仿宋" w:cs="Times New Roman"/>
                <w:sz w:val="24"/>
              </w:rPr>
            </w:pPr>
            <w:r>
              <w:rPr>
                <w:rFonts w:hint="eastAsia" w:ascii="仿宋" w:hAnsi="仿宋" w:eastAsia="仿宋" w:cs="Times New Roman"/>
                <w:sz w:val="24"/>
              </w:rPr>
              <w:t>提供采购清单内原材料（锁具、导轨、铰链、中密度纤维板、油漆、人造石）的检测报告进行佐证（检测报告须有“CMA”标志和清晰二维码可扫描），检测报告参数需完全满足或优于招标文件技术参数中“▲”要求，全部符合满足得18分，每缺少一份扣3分，扣完为止。</w:t>
            </w:r>
          </w:p>
        </w:tc>
      </w:tr>
      <w:tr w14:paraId="3F7E6571">
        <w:tblPrEx>
          <w:tblCellMar>
            <w:top w:w="0" w:type="dxa"/>
            <w:left w:w="108" w:type="dxa"/>
            <w:bottom w:w="0" w:type="dxa"/>
            <w:right w:w="108" w:type="dxa"/>
          </w:tblCellMar>
        </w:tblPrEx>
        <w:trPr>
          <w:trHeight w:val="1460" w:hRule="atLeast"/>
        </w:trPr>
        <w:tc>
          <w:tcPr>
            <w:tcW w:w="666" w:type="dxa"/>
            <w:tcBorders>
              <w:top w:val="nil"/>
              <w:left w:val="single" w:color="auto" w:sz="4" w:space="0"/>
              <w:bottom w:val="single" w:color="auto" w:sz="4" w:space="0"/>
              <w:right w:val="single" w:color="auto" w:sz="4" w:space="0"/>
            </w:tcBorders>
            <w:shd w:val="clear" w:color="auto" w:fill="auto"/>
            <w:vAlign w:val="center"/>
          </w:tcPr>
          <w:p w14:paraId="5C7FD803">
            <w:pPr>
              <w:spacing w:line="360" w:lineRule="auto"/>
              <w:jc w:val="left"/>
              <w:rPr>
                <w:rFonts w:hint="eastAsia" w:ascii="仿宋" w:hAnsi="仿宋" w:eastAsia="仿宋" w:cs="Times New Roman"/>
                <w:sz w:val="24"/>
              </w:rPr>
            </w:pPr>
            <w:r>
              <w:rPr>
                <w:rFonts w:hint="eastAsia" w:ascii="仿宋" w:hAnsi="仿宋" w:eastAsia="仿宋" w:cs="Times New Roman"/>
                <w:sz w:val="24"/>
              </w:rPr>
              <w:t>3</w:t>
            </w:r>
          </w:p>
        </w:tc>
        <w:tc>
          <w:tcPr>
            <w:tcW w:w="1350" w:type="dxa"/>
            <w:tcBorders>
              <w:top w:val="nil"/>
              <w:left w:val="nil"/>
              <w:bottom w:val="single" w:color="auto" w:sz="4" w:space="0"/>
              <w:right w:val="single" w:color="auto" w:sz="4" w:space="0"/>
            </w:tcBorders>
            <w:shd w:val="clear" w:color="auto" w:fill="auto"/>
            <w:vAlign w:val="center"/>
          </w:tcPr>
          <w:p w14:paraId="0D8EF478">
            <w:pPr>
              <w:spacing w:line="360" w:lineRule="auto"/>
              <w:jc w:val="left"/>
              <w:rPr>
                <w:rFonts w:hint="eastAsia" w:ascii="仿宋" w:hAnsi="仿宋" w:eastAsia="仿宋" w:cs="Times New Roman"/>
                <w:sz w:val="24"/>
              </w:rPr>
            </w:pPr>
            <w:r>
              <w:rPr>
                <w:rFonts w:hint="eastAsia" w:ascii="仿宋" w:hAnsi="仿宋" w:eastAsia="仿宋" w:cs="Times New Roman"/>
                <w:sz w:val="24"/>
              </w:rPr>
              <w:t>项目设计方案</w:t>
            </w:r>
          </w:p>
        </w:tc>
        <w:tc>
          <w:tcPr>
            <w:tcW w:w="551" w:type="dxa"/>
            <w:tcBorders>
              <w:top w:val="nil"/>
              <w:left w:val="nil"/>
              <w:bottom w:val="single" w:color="auto" w:sz="4" w:space="0"/>
              <w:right w:val="single" w:color="auto" w:sz="4" w:space="0"/>
            </w:tcBorders>
            <w:shd w:val="clear" w:color="auto" w:fill="auto"/>
            <w:vAlign w:val="center"/>
          </w:tcPr>
          <w:p w14:paraId="30B44C00">
            <w:pPr>
              <w:spacing w:line="360" w:lineRule="auto"/>
              <w:jc w:val="left"/>
              <w:rPr>
                <w:rFonts w:hint="eastAsia" w:ascii="仿宋" w:hAnsi="仿宋" w:eastAsia="仿宋" w:cs="Times New Roman"/>
                <w:sz w:val="24"/>
              </w:rPr>
            </w:pPr>
            <w:r>
              <w:rPr>
                <w:rFonts w:hint="eastAsia" w:ascii="仿宋" w:hAnsi="仿宋" w:eastAsia="仿宋" w:cs="Times New Roman"/>
                <w:sz w:val="24"/>
              </w:rPr>
              <w:t>10</w:t>
            </w:r>
          </w:p>
        </w:tc>
        <w:tc>
          <w:tcPr>
            <w:tcW w:w="6739" w:type="dxa"/>
            <w:tcBorders>
              <w:top w:val="nil"/>
              <w:left w:val="nil"/>
              <w:bottom w:val="single" w:color="auto" w:sz="4" w:space="0"/>
              <w:right w:val="single" w:color="auto" w:sz="4" w:space="0"/>
            </w:tcBorders>
            <w:shd w:val="clear" w:color="auto" w:fill="auto"/>
            <w:vAlign w:val="center"/>
          </w:tcPr>
          <w:p w14:paraId="1AE7BE9D">
            <w:pPr>
              <w:spacing w:line="360" w:lineRule="auto"/>
              <w:jc w:val="left"/>
              <w:rPr>
                <w:rFonts w:hint="eastAsia" w:ascii="仿宋" w:hAnsi="仿宋" w:eastAsia="仿宋" w:cs="Times New Roman"/>
                <w:sz w:val="24"/>
              </w:rPr>
            </w:pPr>
            <w:r>
              <w:rPr>
                <w:rFonts w:hint="eastAsia" w:ascii="仿宋" w:hAnsi="仿宋" w:eastAsia="仿宋" w:cs="Times New Roman"/>
                <w:sz w:val="24"/>
              </w:rPr>
              <w:t>投标人自行勘查现场，综合考虑在满足招标文件要求的基础上对家具摆放等提供平面布置与深化设计效果展示。针对深化设计的技术水平和环境的配套组合，整体效果等因素综合打分。方案设计优于本项目需求得10分；完全满足本项目需求得7分；基本满足本项目需求得4分；不满足本项目需求得1分；不提供不得分。</w:t>
            </w:r>
          </w:p>
        </w:tc>
      </w:tr>
      <w:tr w14:paraId="42A8D3C2">
        <w:tblPrEx>
          <w:tblCellMar>
            <w:top w:w="0" w:type="dxa"/>
            <w:left w:w="108" w:type="dxa"/>
            <w:bottom w:w="0" w:type="dxa"/>
            <w:right w:w="108" w:type="dxa"/>
          </w:tblCellMar>
        </w:tblPrEx>
        <w:trPr>
          <w:trHeight w:val="1460" w:hRule="atLeast"/>
        </w:trPr>
        <w:tc>
          <w:tcPr>
            <w:tcW w:w="666" w:type="dxa"/>
            <w:tcBorders>
              <w:top w:val="nil"/>
              <w:left w:val="single" w:color="auto" w:sz="4" w:space="0"/>
              <w:bottom w:val="single" w:color="auto" w:sz="4" w:space="0"/>
              <w:right w:val="single" w:color="auto" w:sz="4" w:space="0"/>
            </w:tcBorders>
            <w:shd w:val="clear" w:color="auto" w:fill="auto"/>
            <w:vAlign w:val="center"/>
          </w:tcPr>
          <w:p w14:paraId="3DA906FC">
            <w:pPr>
              <w:spacing w:line="360" w:lineRule="auto"/>
              <w:jc w:val="left"/>
              <w:rPr>
                <w:rFonts w:hint="eastAsia" w:ascii="仿宋" w:hAnsi="仿宋" w:eastAsia="仿宋" w:cs="Times New Roman"/>
                <w:sz w:val="24"/>
              </w:rPr>
            </w:pPr>
            <w:r>
              <w:rPr>
                <w:rFonts w:hint="eastAsia" w:ascii="仿宋" w:hAnsi="仿宋" w:eastAsia="仿宋" w:cs="Times New Roman"/>
                <w:sz w:val="24"/>
              </w:rPr>
              <w:t>4</w:t>
            </w:r>
          </w:p>
        </w:tc>
        <w:tc>
          <w:tcPr>
            <w:tcW w:w="1350" w:type="dxa"/>
            <w:tcBorders>
              <w:top w:val="nil"/>
              <w:left w:val="nil"/>
              <w:bottom w:val="single" w:color="auto" w:sz="4" w:space="0"/>
              <w:right w:val="single" w:color="auto" w:sz="4" w:space="0"/>
            </w:tcBorders>
            <w:shd w:val="clear" w:color="auto" w:fill="auto"/>
            <w:vAlign w:val="center"/>
          </w:tcPr>
          <w:p w14:paraId="187DB669">
            <w:pPr>
              <w:spacing w:line="360" w:lineRule="auto"/>
              <w:jc w:val="left"/>
              <w:rPr>
                <w:rFonts w:hint="eastAsia" w:ascii="仿宋" w:hAnsi="仿宋" w:eastAsia="仿宋" w:cs="Times New Roman"/>
                <w:sz w:val="24"/>
              </w:rPr>
            </w:pPr>
            <w:r>
              <w:rPr>
                <w:rFonts w:hint="eastAsia" w:ascii="仿宋" w:hAnsi="仿宋" w:eastAsia="仿宋" w:cs="Times New Roman"/>
                <w:sz w:val="24"/>
              </w:rPr>
              <w:t>项目实施方案</w:t>
            </w:r>
          </w:p>
        </w:tc>
        <w:tc>
          <w:tcPr>
            <w:tcW w:w="551" w:type="dxa"/>
            <w:tcBorders>
              <w:top w:val="nil"/>
              <w:left w:val="nil"/>
              <w:bottom w:val="single" w:color="auto" w:sz="4" w:space="0"/>
              <w:right w:val="single" w:color="auto" w:sz="4" w:space="0"/>
            </w:tcBorders>
            <w:shd w:val="clear" w:color="auto" w:fill="auto"/>
            <w:vAlign w:val="center"/>
          </w:tcPr>
          <w:p w14:paraId="29CB8AD9">
            <w:pPr>
              <w:spacing w:line="360" w:lineRule="auto"/>
              <w:jc w:val="left"/>
              <w:rPr>
                <w:rFonts w:hint="eastAsia" w:ascii="仿宋" w:hAnsi="仿宋" w:eastAsia="仿宋" w:cs="Times New Roman"/>
                <w:sz w:val="24"/>
              </w:rPr>
            </w:pPr>
            <w:r>
              <w:rPr>
                <w:rFonts w:hint="eastAsia" w:ascii="仿宋" w:hAnsi="仿宋" w:eastAsia="仿宋" w:cs="Times New Roman"/>
                <w:sz w:val="24"/>
              </w:rPr>
              <w:t>10</w:t>
            </w:r>
          </w:p>
        </w:tc>
        <w:tc>
          <w:tcPr>
            <w:tcW w:w="6739" w:type="dxa"/>
            <w:tcBorders>
              <w:top w:val="nil"/>
              <w:left w:val="nil"/>
              <w:bottom w:val="single" w:color="auto" w:sz="4" w:space="0"/>
              <w:right w:val="single" w:color="auto" w:sz="4" w:space="0"/>
            </w:tcBorders>
            <w:shd w:val="clear" w:color="auto" w:fill="auto"/>
            <w:vAlign w:val="center"/>
          </w:tcPr>
          <w:p w14:paraId="009A8339">
            <w:pPr>
              <w:spacing w:line="360" w:lineRule="auto"/>
              <w:jc w:val="left"/>
              <w:rPr>
                <w:rFonts w:hint="eastAsia" w:ascii="仿宋" w:hAnsi="仿宋" w:eastAsia="仿宋" w:cs="Times New Roman"/>
                <w:sz w:val="24"/>
              </w:rPr>
            </w:pPr>
            <w:r>
              <w:rPr>
                <w:rFonts w:hint="eastAsia" w:ascii="仿宋" w:hAnsi="仿宋" w:eastAsia="仿宋" w:cs="Times New Roman"/>
                <w:sz w:val="24"/>
              </w:rPr>
              <w:t>投标人应提供产品的项目实施方案，内容包括但不限于项目总体计划、供货运输方案、安装调试方案、突发事件应急措施等，根据投标人提供的实施方案的可行性、实用性和安全性进行综合评价，方案设计优于本项目需求得10分；完全满足本项目需求得7分；基本满足本项目需求得4分；不满足本项目需求得1分；不提供不得分。</w:t>
            </w:r>
          </w:p>
        </w:tc>
      </w:tr>
      <w:tr w14:paraId="017011F8">
        <w:tblPrEx>
          <w:tblCellMar>
            <w:top w:w="0" w:type="dxa"/>
            <w:left w:w="108" w:type="dxa"/>
            <w:bottom w:w="0" w:type="dxa"/>
            <w:right w:w="108" w:type="dxa"/>
          </w:tblCellMar>
        </w:tblPrEx>
        <w:trPr>
          <w:trHeight w:val="1841" w:hRule="atLeast"/>
        </w:trPr>
        <w:tc>
          <w:tcPr>
            <w:tcW w:w="666" w:type="dxa"/>
            <w:tcBorders>
              <w:top w:val="nil"/>
              <w:left w:val="single" w:color="auto" w:sz="4" w:space="0"/>
              <w:bottom w:val="single" w:color="auto" w:sz="4" w:space="0"/>
              <w:right w:val="single" w:color="auto" w:sz="4" w:space="0"/>
            </w:tcBorders>
            <w:shd w:val="clear" w:color="auto" w:fill="auto"/>
            <w:vAlign w:val="center"/>
          </w:tcPr>
          <w:p w14:paraId="35C41771">
            <w:pPr>
              <w:spacing w:line="360" w:lineRule="auto"/>
              <w:jc w:val="left"/>
              <w:rPr>
                <w:rFonts w:hint="eastAsia" w:ascii="仿宋" w:hAnsi="仿宋" w:eastAsia="仿宋" w:cs="Times New Roman"/>
                <w:sz w:val="24"/>
              </w:rPr>
            </w:pPr>
            <w:r>
              <w:rPr>
                <w:rFonts w:hint="eastAsia" w:ascii="仿宋" w:hAnsi="仿宋" w:eastAsia="仿宋" w:cs="Times New Roman"/>
                <w:sz w:val="24"/>
              </w:rPr>
              <w:t>5</w:t>
            </w:r>
          </w:p>
        </w:tc>
        <w:tc>
          <w:tcPr>
            <w:tcW w:w="1350" w:type="dxa"/>
            <w:tcBorders>
              <w:top w:val="nil"/>
              <w:left w:val="nil"/>
              <w:bottom w:val="single" w:color="auto" w:sz="4" w:space="0"/>
              <w:right w:val="single" w:color="auto" w:sz="4" w:space="0"/>
            </w:tcBorders>
            <w:shd w:val="clear" w:color="auto" w:fill="auto"/>
            <w:vAlign w:val="center"/>
          </w:tcPr>
          <w:p w14:paraId="0F89985A">
            <w:pPr>
              <w:spacing w:line="360" w:lineRule="auto"/>
              <w:jc w:val="left"/>
              <w:rPr>
                <w:rFonts w:hint="eastAsia" w:ascii="仿宋" w:hAnsi="仿宋" w:eastAsia="仿宋" w:cs="Times New Roman"/>
                <w:sz w:val="24"/>
              </w:rPr>
            </w:pPr>
            <w:r>
              <w:rPr>
                <w:rFonts w:hint="eastAsia" w:ascii="仿宋" w:hAnsi="仿宋" w:eastAsia="仿宋" w:cs="Times New Roman"/>
                <w:sz w:val="24"/>
              </w:rPr>
              <w:t>售后服务方案</w:t>
            </w:r>
          </w:p>
        </w:tc>
        <w:tc>
          <w:tcPr>
            <w:tcW w:w="551" w:type="dxa"/>
            <w:tcBorders>
              <w:top w:val="nil"/>
              <w:left w:val="nil"/>
              <w:bottom w:val="single" w:color="auto" w:sz="4" w:space="0"/>
              <w:right w:val="single" w:color="auto" w:sz="4" w:space="0"/>
            </w:tcBorders>
            <w:shd w:val="clear" w:color="auto" w:fill="auto"/>
            <w:vAlign w:val="center"/>
          </w:tcPr>
          <w:p w14:paraId="39A184B1">
            <w:pPr>
              <w:spacing w:line="360" w:lineRule="auto"/>
              <w:jc w:val="left"/>
              <w:rPr>
                <w:rFonts w:hint="eastAsia" w:ascii="仿宋" w:hAnsi="仿宋" w:eastAsia="仿宋" w:cs="Times New Roman"/>
                <w:sz w:val="24"/>
              </w:rPr>
            </w:pPr>
            <w:r>
              <w:rPr>
                <w:rFonts w:hint="eastAsia" w:ascii="仿宋" w:hAnsi="仿宋" w:eastAsia="仿宋" w:cs="Times New Roman"/>
                <w:sz w:val="24"/>
              </w:rPr>
              <w:t>10</w:t>
            </w:r>
          </w:p>
        </w:tc>
        <w:tc>
          <w:tcPr>
            <w:tcW w:w="6739" w:type="dxa"/>
            <w:tcBorders>
              <w:top w:val="nil"/>
              <w:left w:val="nil"/>
              <w:bottom w:val="single" w:color="auto" w:sz="4" w:space="0"/>
              <w:right w:val="single" w:color="auto" w:sz="4" w:space="0"/>
            </w:tcBorders>
            <w:shd w:val="clear" w:color="auto" w:fill="auto"/>
            <w:vAlign w:val="center"/>
          </w:tcPr>
          <w:p w14:paraId="4AF6CCCB">
            <w:pPr>
              <w:spacing w:line="360" w:lineRule="auto"/>
              <w:jc w:val="left"/>
              <w:rPr>
                <w:rFonts w:hint="eastAsia" w:ascii="仿宋" w:hAnsi="仿宋" w:eastAsia="仿宋" w:cs="Times New Roman"/>
                <w:sz w:val="24"/>
              </w:rPr>
            </w:pPr>
            <w:r>
              <w:rPr>
                <w:rFonts w:hint="eastAsia" w:ascii="仿宋" w:hAnsi="仿宋" w:eastAsia="仿宋" w:cs="Times New Roman"/>
                <w:sz w:val="24"/>
              </w:rPr>
              <w:t>提供投标人或授权生产商具有有效期内的GB/T27922-2011《商品售后服务评价体系》认证售后服务体系完善程度认证证书（十星级）得3分，未提供或不符合者均不得分；                                                                   2.根据投标人的售后服务承诺及保障措施的合理完整性、方案内容详细完整、科学合理、可行性评分为，优得3分，良好得2分，一般得1分。</w:t>
            </w:r>
          </w:p>
          <w:p w14:paraId="091E17B1">
            <w:pPr>
              <w:spacing w:line="360" w:lineRule="auto"/>
              <w:jc w:val="left"/>
              <w:rPr>
                <w:rFonts w:hint="eastAsia" w:ascii="仿宋" w:hAnsi="仿宋" w:eastAsia="仿宋" w:cs="Times New Roman"/>
                <w:sz w:val="24"/>
              </w:rPr>
            </w:pPr>
            <w:r>
              <w:rPr>
                <w:rFonts w:hint="eastAsia" w:ascii="仿宋" w:hAnsi="仿宋" w:eastAsia="仿宋" w:cs="Times New Roman"/>
                <w:sz w:val="24"/>
              </w:rPr>
              <w:t>3.质保期1年不得分，每增加1年得1分，最多得4分</w:t>
            </w:r>
          </w:p>
        </w:tc>
      </w:tr>
      <w:tr w14:paraId="74E132B6">
        <w:tblPrEx>
          <w:tblCellMar>
            <w:top w:w="0" w:type="dxa"/>
            <w:left w:w="108" w:type="dxa"/>
            <w:bottom w:w="0" w:type="dxa"/>
            <w:right w:w="108" w:type="dxa"/>
          </w:tblCellMar>
        </w:tblPrEx>
        <w:trPr>
          <w:trHeight w:val="964" w:hRule="atLeast"/>
        </w:trPr>
        <w:tc>
          <w:tcPr>
            <w:tcW w:w="666" w:type="dxa"/>
            <w:tcBorders>
              <w:top w:val="nil"/>
              <w:left w:val="single" w:color="auto" w:sz="4" w:space="0"/>
              <w:bottom w:val="single" w:color="auto" w:sz="4" w:space="0"/>
              <w:right w:val="single" w:color="auto" w:sz="4" w:space="0"/>
            </w:tcBorders>
            <w:shd w:val="clear" w:color="auto" w:fill="auto"/>
            <w:vAlign w:val="center"/>
          </w:tcPr>
          <w:p w14:paraId="38E74D99">
            <w:pPr>
              <w:spacing w:line="360" w:lineRule="auto"/>
              <w:jc w:val="left"/>
              <w:rPr>
                <w:rFonts w:hint="eastAsia" w:ascii="仿宋" w:hAnsi="仿宋" w:eastAsia="仿宋" w:cs="Times New Roman"/>
                <w:sz w:val="24"/>
              </w:rPr>
            </w:pPr>
            <w:r>
              <w:rPr>
                <w:rFonts w:hint="eastAsia" w:ascii="仿宋" w:hAnsi="仿宋" w:eastAsia="仿宋" w:cs="Times New Roman"/>
                <w:sz w:val="24"/>
              </w:rPr>
              <w:t>6</w:t>
            </w:r>
          </w:p>
        </w:tc>
        <w:tc>
          <w:tcPr>
            <w:tcW w:w="1350" w:type="dxa"/>
            <w:tcBorders>
              <w:top w:val="nil"/>
              <w:left w:val="nil"/>
              <w:bottom w:val="single" w:color="auto" w:sz="4" w:space="0"/>
              <w:right w:val="single" w:color="auto" w:sz="4" w:space="0"/>
            </w:tcBorders>
            <w:shd w:val="clear" w:color="auto" w:fill="auto"/>
            <w:vAlign w:val="center"/>
          </w:tcPr>
          <w:p w14:paraId="1BB7670B">
            <w:pPr>
              <w:spacing w:line="360" w:lineRule="auto"/>
              <w:jc w:val="left"/>
              <w:rPr>
                <w:rFonts w:hint="eastAsia" w:ascii="仿宋" w:hAnsi="仿宋" w:eastAsia="仿宋" w:cs="Times New Roman"/>
                <w:sz w:val="24"/>
              </w:rPr>
            </w:pPr>
            <w:r>
              <w:rPr>
                <w:rFonts w:hint="eastAsia" w:ascii="仿宋" w:hAnsi="仿宋" w:eastAsia="仿宋" w:cs="Times New Roman"/>
                <w:sz w:val="24"/>
              </w:rPr>
              <w:t>业绩</w:t>
            </w:r>
          </w:p>
        </w:tc>
        <w:tc>
          <w:tcPr>
            <w:tcW w:w="551" w:type="dxa"/>
            <w:tcBorders>
              <w:top w:val="nil"/>
              <w:left w:val="nil"/>
              <w:bottom w:val="single" w:color="auto" w:sz="4" w:space="0"/>
              <w:right w:val="single" w:color="auto" w:sz="4" w:space="0"/>
            </w:tcBorders>
            <w:shd w:val="clear" w:color="auto" w:fill="auto"/>
            <w:vAlign w:val="center"/>
          </w:tcPr>
          <w:p w14:paraId="4F398E70">
            <w:pPr>
              <w:spacing w:line="360" w:lineRule="auto"/>
              <w:jc w:val="left"/>
              <w:rPr>
                <w:rFonts w:hint="eastAsia" w:ascii="仿宋" w:hAnsi="仿宋" w:eastAsia="仿宋" w:cs="Times New Roman"/>
                <w:sz w:val="24"/>
              </w:rPr>
            </w:pPr>
            <w:r>
              <w:rPr>
                <w:rFonts w:hint="eastAsia" w:ascii="仿宋" w:hAnsi="仿宋" w:eastAsia="仿宋" w:cs="Times New Roman"/>
                <w:sz w:val="24"/>
              </w:rPr>
              <w:t>6</w:t>
            </w:r>
          </w:p>
        </w:tc>
        <w:tc>
          <w:tcPr>
            <w:tcW w:w="6739" w:type="dxa"/>
            <w:tcBorders>
              <w:top w:val="nil"/>
              <w:left w:val="nil"/>
              <w:bottom w:val="single" w:color="auto" w:sz="4" w:space="0"/>
              <w:right w:val="single" w:color="auto" w:sz="4" w:space="0"/>
            </w:tcBorders>
            <w:shd w:val="clear" w:color="auto" w:fill="auto"/>
            <w:vAlign w:val="center"/>
          </w:tcPr>
          <w:p w14:paraId="0B18D72F">
            <w:pPr>
              <w:spacing w:line="360" w:lineRule="auto"/>
              <w:jc w:val="left"/>
              <w:rPr>
                <w:rFonts w:hint="eastAsia" w:ascii="仿宋" w:hAnsi="仿宋" w:eastAsia="仿宋" w:cs="Times New Roman"/>
                <w:sz w:val="24"/>
              </w:rPr>
            </w:pPr>
            <w:r>
              <w:rPr>
                <w:rFonts w:hint="eastAsia" w:ascii="仿宋" w:hAnsi="仿宋" w:eastAsia="仿宋" w:cs="Times New Roman"/>
                <w:sz w:val="24"/>
              </w:rPr>
              <w:t>投标人2021年以来具有类似成功案例业绩的，有一份得2分，最多得6分。（需提供完整的中标通知书、合同、清单及发票复印件并加盖公章，提供不全不得分。）</w:t>
            </w:r>
          </w:p>
        </w:tc>
      </w:tr>
    </w:tbl>
    <w:p w14:paraId="6D95CFBD">
      <w:pPr>
        <w:spacing w:line="360" w:lineRule="auto"/>
        <w:jc w:val="left"/>
        <w:rPr>
          <w:rFonts w:hint="eastAsia" w:ascii="仿宋" w:hAnsi="仿宋" w:eastAsia="仿宋" w:cs="Times New Roman"/>
          <w:sz w:val="24"/>
        </w:rPr>
      </w:pPr>
    </w:p>
    <w:p w14:paraId="354DC82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164A0D"/>
    <w:multiLevelType w:val="singleLevel"/>
    <w:tmpl w:val="23164A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A151A4"/>
    <w:rsid w:val="6BF57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1194</Words>
  <Characters>1276</Characters>
  <Lines>0</Lines>
  <Paragraphs>0</Paragraphs>
  <TotalTime>0</TotalTime>
  <ScaleCrop>false</ScaleCrop>
  <LinksUpToDate>false</LinksUpToDate>
  <CharactersWithSpaces>1423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2025-02-07T01:33:00Z</dcterms:created>
  <dc:creator>User</dc:creator>
  <cp:lastModifiedBy>很懒不起名</cp:lastModifiedBy>
  <dcterms:modified xsi:type="dcterms:W3CDTF">2025-02-07T03:03:34Z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867761496DCE47C59FBC9EE2D40F7F43_12</vt:lpwstr>
  </property>
  <property fmtid="{D5CDD505-2E9C-101B-9397-08002B2CF9AE}" pid="4" name="KSOTemplateDocerSaveRecord">
    <vt:lpwstr>eyJoZGlkIjoiZWFkMWQ0MTQyMWVmZWQ4ZWM2MTlkMWQ4NmMxNTA1Y2EiLCJ1c2VySWQiOiIzMzcyMTM0MzkifQ==</vt:lpwstr>
  </property>
</Properties>
</file>