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46232">
      <w:pPr>
        <w:spacing w:line="360" w:lineRule="auto"/>
        <w:jc w:val="left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附件：</w:t>
      </w:r>
    </w:p>
    <w:p w14:paraId="01224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2" w:firstLineChars="200"/>
        <w:textAlignment w:val="auto"/>
        <w:rPr>
          <w:rFonts w:hint="eastAsia" w:ascii="微软雅黑" w:hAnsi="微软雅黑" w:cs="宋体"/>
          <w:color w:val="333333"/>
          <w:sz w:val="24"/>
          <w:szCs w:val="24"/>
        </w:rPr>
      </w:pPr>
      <w:r>
        <w:rPr>
          <w:rFonts w:hint="eastAsia" w:ascii="宋体" w:hAnsi="宋体" w:eastAsia="宋体" w:cs="Times New Roman"/>
          <w:b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微软雅黑" w:hAnsi="微软雅黑" w:cs="宋体"/>
          <w:b/>
          <w:bCs/>
          <w:color w:val="333333"/>
          <w:sz w:val="24"/>
          <w:szCs w:val="24"/>
        </w:rPr>
        <w:t>项目需求：</w:t>
      </w:r>
      <w:r>
        <w:rPr>
          <w:rFonts w:hint="eastAsia" w:ascii="微软雅黑" w:hAnsi="微软雅黑" w:cs="宋体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宋体"/>
          <w:color w:val="333333"/>
          <w:sz w:val="24"/>
          <w:szCs w:val="24"/>
        </w:rPr>
        <w:t>      1.根据医院要求，完成医院指定地点的充电装置投放，充电场所自行踏勘，同时考虑防水等安全措施。</w:t>
      </w:r>
    </w:p>
    <w:p w14:paraId="371F5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textAlignment w:val="auto"/>
        <w:rPr>
          <w:rFonts w:ascii="微软雅黑" w:hAnsi="微软雅黑" w:cs="宋体"/>
          <w:color w:val="333333"/>
          <w:sz w:val="24"/>
          <w:szCs w:val="24"/>
        </w:rPr>
      </w:pPr>
      <w:r>
        <w:rPr>
          <w:rFonts w:ascii="微软雅黑" w:hAnsi="微软雅黑" w:cs="宋体"/>
          <w:color w:val="333333"/>
          <w:sz w:val="24"/>
          <w:szCs w:val="24"/>
        </w:rPr>
        <w:t>1.1</w:t>
      </w:r>
      <w:r>
        <w:rPr>
          <w:rFonts w:hint="eastAsia" w:ascii="微软雅黑" w:hAnsi="微软雅黑" w:cs="宋体"/>
          <w:color w:val="333333"/>
          <w:sz w:val="24"/>
          <w:szCs w:val="24"/>
        </w:rPr>
        <w:t>东院区电动自行车棚至少需同时满足 </w:t>
      </w:r>
      <w:r>
        <w:rPr>
          <w:rFonts w:hint="eastAsia" w:ascii="微软雅黑" w:hAnsi="微软雅黑" w:cs="宋体"/>
          <w:sz w:val="24"/>
          <w:szCs w:val="24"/>
        </w:rPr>
        <w:t>36</w:t>
      </w:r>
      <w:r>
        <w:rPr>
          <w:rFonts w:hint="eastAsia" w:ascii="微软雅黑" w:hAnsi="微软雅黑" w:cs="宋体"/>
          <w:color w:val="FF0000"/>
          <w:sz w:val="24"/>
          <w:szCs w:val="24"/>
        </w:rPr>
        <w:t> </w:t>
      </w:r>
      <w:r>
        <w:rPr>
          <w:rFonts w:hint="eastAsia" w:ascii="微软雅黑" w:hAnsi="微软雅黑" w:cs="宋体"/>
          <w:color w:val="333333"/>
          <w:sz w:val="24"/>
          <w:szCs w:val="24"/>
        </w:rPr>
        <w:t>辆电瓶车充电；</w:t>
      </w:r>
    </w:p>
    <w:p w14:paraId="2EEE2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textAlignment w:val="auto"/>
        <w:rPr>
          <w:rFonts w:ascii="微软雅黑" w:hAnsi="微软雅黑" w:cs="宋体"/>
          <w:color w:val="333333"/>
          <w:sz w:val="24"/>
          <w:szCs w:val="24"/>
        </w:rPr>
      </w:pPr>
      <w:r>
        <w:rPr>
          <w:rFonts w:hint="eastAsia" w:ascii="微软雅黑" w:hAnsi="微软雅黑" w:cs="宋体"/>
          <w:color w:val="333333"/>
          <w:sz w:val="24"/>
          <w:szCs w:val="24"/>
        </w:rPr>
        <w:t>1</w:t>
      </w:r>
      <w:r>
        <w:rPr>
          <w:rFonts w:ascii="微软雅黑" w:hAnsi="微软雅黑" w:cs="宋体"/>
          <w:color w:val="333333"/>
          <w:sz w:val="24"/>
          <w:szCs w:val="24"/>
        </w:rPr>
        <w:t>.2</w:t>
      </w:r>
      <w:r>
        <w:rPr>
          <w:rFonts w:hint="eastAsia" w:ascii="微软雅黑" w:hAnsi="微软雅黑" w:cs="宋体"/>
          <w:color w:val="333333"/>
          <w:sz w:val="24"/>
          <w:szCs w:val="24"/>
        </w:rPr>
        <w:t>行政区电动自行车棚至少需同时满足 </w:t>
      </w:r>
      <w:r>
        <w:rPr>
          <w:rFonts w:ascii="微软雅黑" w:hAnsi="微软雅黑" w:cs="宋体"/>
          <w:sz w:val="24"/>
          <w:szCs w:val="24"/>
        </w:rPr>
        <w:t>21</w:t>
      </w:r>
      <w:r>
        <w:rPr>
          <w:rFonts w:hint="eastAsia" w:ascii="微软雅黑" w:hAnsi="微软雅黑" w:cs="宋体"/>
          <w:color w:val="333333"/>
          <w:sz w:val="24"/>
          <w:szCs w:val="24"/>
        </w:rPr>
        <w:t>辆电瓶车充电；</w:t>
      </w:r>
    </w:p>
    <w:p w14:paraId="591A0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textAlignment w:val="auto"/>
        <w:rPr>
          <w:rFonts w:hint="eastAsia" w:ascii="微软雅黑" w:hAnsi="微软雅黑" w:cs="宋体"/>
          <w:color w:val="333333"/>
          <w:sz w:val="24"/>
          <w:szCs w:val="24"/>
        </w:rPr>
      </w:pPr>
      <w:r>
        <w:rPr>
          <w:rFonts w:hint="eastAsia" w:ascii="微软雅黑" w:hAnsi="微软雅黑" w:cs="宋体"/>
          <w:color w:val="333333"/>
          <w:sz w:val="24"/>
          <w:szCs w:val="24"/>
        </w:rPr>
        <w:t>1</w:t>
      </w:r>
      <w:r>
        <w:rPr>
          <w:rFonts w:ascii="微软雅黑" w:hAnsi="微软雅黑" w:cs="宋体"/>
          <w:color w:val="333333"/>
          <w:sz w:val="24"/>
          <w:szCs w:val="24"/>
        </w:rPr>
        <w:t>.3</w:t>
      </w:r>
      <w:r>
        <w:rPr>
          <w:rFonts w:hint="eastAsia" w:ascii="微软雅黑" w:hAnsi="微软雅黑" w:cs="宋体"/>
          <w:color w:val="333333"/>
          <w:sz w:val="24"/>
          <w:szCs w:val="24"/>
        </w:rPr>
        <w:t>东院区血液净化中心西侧至少需同时满足1</w:t>
      </w:r>
      <w:r>
        <w:rPr>
          <w:rFonts w:ascii="微软雅黑" w:hAnsi="微软雅黑" w:cs="宋体"/>
          <w:color w:val="333333"/>
          <w:sz w:val="24"/>
          <w:szCs w:val="24"/>
        </w:rPr>
        <w:t>0</w:t>
      </w:r>
      <w:r>
        <w:rPr>
          <w:rFonts w:hint="eastAsia" w:ascii="微软雅黑" w:hAnsi="微软雅黑" w:cs="宋体"/>
          <w:color w:val="333333"/>
          <w:sz w:val="24"/>
          <w:szCs w:val="24"/>
        </w:rPr>
        <w:t>辆电动三轮车充电（需安装立柱）。</w:t>
      </w:r>
    </w:p>
    <w:p w14:paraId="3E5CF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textAlignment w:val="auto"/>
        <w:rPr>
          <w:rFonts w:ascii="微软雅黑" w:hAnsi="微软雅黑" w:cs="宋体"/>
          <w:color w:val="333333"/>
          <w:sz w:val="24"/>
          <w:szCs w:val="24"/>
        </w:rPr>
      </w:pPr>
      <w:r>
        <w:rPr>
          <w:rFonts w:hint="eastAsia" w:ascii="微软雅黑" w:hAnsi="微软雅黑" w:cs="宋体"/>
          <w:color w:val="333333"/>
          <w:sz w:val="24"/>
          <w:szCs w:val="24"/>
        </w:rPr>
        <w:t>  2.交付期：合同签订后</w:t>
      </w:r>
      <w:r>
        <w:rPr>
          <w:rFonts w:ascii="微软雅黑" w:hAnsi="微软雅黑" w:cs="宋体"/>
          <w:color w:val="333333"/>
          <w:sz w:val="24"/>
          <w:szCs w:val="24"/>
        </w:rPr>
        <w:t>20</w:t>
      </w:r>
      <w:r>
        <w:rPr>
          <w:rFonts w:hint="eastAsia" w:ascii="微软雅黑" w:hAnsi="微软雅黑" w:cs="宋体"/>
          <w:color w:val="333333"/>
          <w:sz w:val="24"/>
          <w:szCs w:val="24"/>
        </w:rPr>
        <w:t>个工作日内。</w:t>
      </w:r>
      <w:r>
        <w:rPr>
          <w:rFonts w:hint="eastAsia" w:ascii="微软雅黑" w:hAnsi="微软雅黑" w:cs="宋体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宋体"/>
          <w:color w:val="333333"/>
          <w:sz w:val="24"/>
          <w:szCs w:val="24"/>
        </w:rPr>
        <w:t>       3.合作期限：3年，合同一年一签，合同到期后如双方满意，且中标人无违约事项可续签一年，最多可续签2次。</w:t>
      </w:r>
      <w:r>
        <w:rPr>
          <w:rFonts w:hint="eastAsia" w:ascii="微软雅黑" w:hAnsi="微软雅黑" w:cs="宋体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宋体"/>
          <w:color w:val="333333"/>
          <w:sz w:val="24"/>
          <w:szCs w:val="24"/>
        </w:rPr>
        <w:t>       </w:t>
      </w:r>
      <w:r>
        <w:rPr>
          <w:rFonts w:hint="eastAsia" w:ascii="微软雅黑" w:hAnsi="微软雅黑" w:cs="宋体"/>
          <w:b/>
          <w:bCs/>
          <w:color w:val="333333"/>
          <w:sz w:val="24"/>
          <w:szCs w:val="24"/>
        </w:rPr>
        <w:t xml:space="preserve">二、项目要求： </w:t>
      </w:r>
      <w:r>
        <w:rPr>
          <w:rFonts w:hint="eastAsia" w:ascii="微软雅黑" w:hAnsi="微软雅黑" w:cs="宋体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宋体"/>
          <w:color w:val="333333"/>
          <w:sz w:val="24"/>
          <w:szCs w:val="24"/>
        </w:rPr>
        <w:t>       1.后期根据医院实际使用情况，投标人应及时增减充电装置。</w:t>
      </w:r>
    </w:p>
    <w:p w14:paraId="3D5CD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微软雅黑" w:hAnsi="微软雅黑" w:cs="宋体"/>
          <w:color w:val="333333"/>
          <w:sz w:val="24"/>
          <w:szCs w:val="24"/>
        </w:rPr>
      </w:pPr>
      <w:r>
        <w:rPr>
          <w:rFonts w:hint="eastAsia" w:ascii="微软雅黑" w:hAnsi="微软雅黑" w:cs="宋体"/>
          <w:color w:val="333333"/>
          <w:sz w:val="24"/>
          <w:szCs w:val="24"/>
        </w:rPr>
        <w:t>  2.充电方式支持扫码（支付宝、微信）和投币，收费价格不得高于1元/</w:t>
      </w:r>
      <w:r>
        <w:rPr>
          <w:rFonts w:ascii="微软雅黑" w:hAnsi="微软雅黑" w:cs="宋体"/>
          <w:color w:val="333333"/>
          <w:sz w:val="24"/>
          <w:szCs w:val="24"/>
        </w:rPr>
        <w:t>0.6</w:t>
      </w:r>
      <w:r>
        <w:rPr>
          <w:rFonts w:hint="eastAsia" w:ascii="微软雅黑" w:hAnsi="微软雅黑" w:cs="宋体"/>
          <w:color w:val="333333"/>
          <w:sz w:val="24"/>
          <w:szCs w:val="24"/>
        </w:rPr>
        <w:t>kWh，即：1元/</w:t>
      </w:r>
      <w:r>
        <w:rPr>
          <w:rFonts w:ascii="微软雅黑" w:hAnsi="微软雅黑" w:cs="宋体"/>
          <w:color w:val="333333"/>
          <w:sz w:val="24"/>
          <w:szCs w:val="24"/>
        </w:rPr>
        <w:t>180</w:t>
      </w:r>
      <w:r>
        <w:rPr>
          <w:rFonts w:hint="eastAsia" w:ascii="微软雅黑" w:hAnsi="微软雅黑" w:cs="宋体"/>
          <w:color w:val="333333"/>
          <w:sz w:val="24"/>
          <w:szCs w:val="24"/>
        </w:rPr>
        <w:t>分钟（充电功率2</w:t>
      </w:r>
      <w:r>
        <w:rPr>
          <w:rFonts w:ascii="微软雅黑" w:hAnsi="微软雅黑" w:cs="宋体"/>
          <w:color w:val="333333"/>
          <w:sz w:val="24"/>
          <w:szCs w:val="24"/>
        </w:rPr>
        <w:t>00</w:t>
      </w:r>
      <w:r>
        <w:rPr>
          <w:rFonts w:hint="eastAsia" w:ascii="微软雅黑" w:hAnsi="微软雅黑" w:cs="宋体"/>
          <w:color w:val="333333"/>
          <w:sz w:val="24"/>
          <w:szCs w:val="24"/>
        </w:rPr>
        <w:t>W）； 1元/</w:t>
      </w:r>
      <w:r>
        <w:rPr>
          <w:rFonts w:ascii="微软雅黑" w:hAnsi="微软雅黑" w:cs="宋体"/>
          <w:color w:val="333333"/>
          <w:sz w:val="24"/>
          <w:szCs w:val="24"/>
        </w:rPr>
        <w:t>120</w:t>
      </w:r>
      <w:r>
        <w:rPr>
          <w:rFonts w:hint="eastAsia" w:ascii="微软雅黑" w:hAnsi="微软雅黑" w:cs="宋体"/>
          <w:color w:val="333333"/>
          <w:sz w:val="24"/>
          <w:szCs w:val="24"/>
        </w:rPr>
        <w:t>分钟（充电功率3</w:t>
      </w:r>
      <w:r>
        <w:rPr>
          <w:rFonts w:ascii="微软雅黑" w:hAnsi="微软雅黑" w:cs="宋体"/>
          <w:color w:val="333333"/>
          <w:sz w:val="24"/>
          <w:szCs w:val="24"/>
        </w:rPr>
        <w:t>00</w:t>
      </w:r>
      <w:r>
        <w:rPr>
          <w:rFonts w:hint="eastAsia" w:ascii="微软雅黑" w:hAnsi="微软雅黑" w:cs="宋体"/>
          <w:color w:val="333333"/>
          <w:sz w:val="24"/>
          <w:szCs w:val="24"/>
        </w:rPr>
        <w:t>W）；1元/</w:t>
      </w:r>
      <w:r>
        <w:rPr>
          <w:rFonts w:ascii="微软雅黑" w:hAnsi="微软雅黑" w:cs="宋体"/>
          <w:color w:val="333333"/>
          <w:sz w:val="24"/>
          <w:szCs w:val="24"/>
        </w:rPr>
        <w:t>90</w:t>
      </w:r>
      <w:r>
        <w:rPr>
          <w:rFonts w:hint="eastAsia" w:ascii="微软雅黑" w:hAnsi="微软雅黑" w:cs="宋体"/>
          <w:color w:val="333333"/>
          <w:sz w:val="24"/>
          <w:szCs w:val="24"/>
        </w:rPr>
        <w:t>分钟（充电功率4</w:t>
      </w:r>
      <w:r>
        <w:rPr>
          <w:rFonts w:ascii="微软雅黑" w:hAnsi="微软雅黑" w:cs="宋体"/>
          <w:color w:val="333333"/>
          <w:sz w:val="24"/>
          <w:szCs w:val="24"/>
        </w:rPr>
        <w:t>00</w:t>
      </w:r>
      <w:r>
        <w:rPr>
          <w:rFonts w:hint="eastAsia" w:ascii="微软雅黑" w:hAnsi="微软雅黑" w:cs="宋体"/>
          <w:color w:val="333333"/>
          <w:sz w:val="24"/>
          <w:szCs w:val="24"/>
        </w:rPr>
        <w:t>W）；1元/</w:t>
      </w:r>
      <w:r>
        <w:rPr>
          <w:rFonts w:ascii="微软雅黑" w:hAnsi="微软雅黑" w:cs="宋体"/>
          <w:color w:val="333333"/>
          <w:sz w:val="24"/>
          <w:szCs w:val="24"/>
        </w:rPr>
        <w:t>72</w:t>
      </w:r>
      <w:r>
        <w:rPr>
          <w:rFonts w:hint="eastAsia" w:ascii="微软雅黑" w:hAnsi="微软雅黑" w:cs="宋体"/>
          <w:color w:val="333333"/>
          <w:sz w:val="24"/>
          <w:szCs w:val="24"/>
        </w:rPr>
        <w:t>分钟（充电功率5</w:t>
      </w:r>
      <w:r>
        <w:rPr>
          <w:rFonts w:ascii="微软雅黑" w:hAnsi="微软雅黑" w:cs="宋体"/>
          <w:color w:val="333333"/>
          <w:sz w:val="24"/>
          <w:szCs w:val="24"/>
        </w:rPr>
        <w:t>00</w:t>
      </w:r>
      <w:r>
        <w:rPr>
          <w:rFonts w:hint="eastAsia" w:ascii="微软雅黑" w:hAnsi="微软雅黑" w:cs="宋体"/>
          <w:color w:val="333333"/>
          <w:sz w:val="24"/>
          <w:szCs w:val="24"/>
        </w:rPr>
        <w:t>W）；1元/</w:t>
      </w:r>
      <w:r>
        <w:rPr>
          <w:rFonts w:ascii="微软雅黑" w:hAnsi="微软雅黑" w:cs="宋体"/>
          <w:color w:val="333333"/>
          <w:sz w:val="24"/>
          <w:szCs w:val="24"/>
        </w:rPr>
        <w:t>36</w:t>
      </w:r>
      <w:r>
        <w:rPr>
          <w:rFonts w:hint="eastAsia" w:ascii="微软雅黑" w:hAnsi="微软雅黑" w:cs="宋体"/>
          <w:color w:val="333333"/>
          <w:sz w:val="24"/>
          <w:szCs w:val="24"/>
        </w:rPr>
        <w:t>分钟（充电功率1</w:t>
      </w:r>
      <w:r>
        <w:rPr>
          <w:rFonts w:ascii="微软雅黑" w:hAnsi="微软雅黑" w:cs="宋体"/>
          <w:color w:val="333333"/>
          <w:sz w:val="24"/>
          <w:szCs w:val="24"/>
        </w:rPr>
        <w:t>000</w:t>
      </w:r>
      <w:r>
        <w:rPr>
          <w:rFonts w:hint="eastAsia" w:ascii="微软雅黑" w:hAnsi="微软雅黑" w:cs="宋体"/>
          <w:color w:val="333333"/>
          <w:sz w:val="24"/>
          <w:szCs w:val="24"/>
        </w:rPr>
        <w:t>W），以此类推。</w:t>
      </w:r>
      <w:r>
        <w:rPr>
          <w:rFonts w:hint="eastAsia" w:ascii="微软雅黑" w:hAnsi="微软雅黑" w:cs="宋体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宋体"/>
          <w:color w:val="333333"/>
          <w:sz w:val="24"/>
          <w:szCs w:val="24"/>
        </w:rPr>
        <w:t>       3.中标人指定专门的运营维护人员对接医院工作人员。</w:t>
      </w:r>
      <w:r>
        <w:rPr>
          <w:rFonts w:hint="eastAsia" w:ascii="微软雅黑" w:hAnsi="微软雅黑" w:cs="宋体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宋体"/>
          <w:color w:val="333333"/>
          <w:sz w:val="24"/>
          <w:szCs w:val="24"/>
        </w:rPr>
        <w:t>       4.服务期内中标人对充电设施进行定期例行维保，中标人对投放的充电设施终身免费更新换代。</w:t>
      </w:r>
      <w:r>
        <w:rPr>
          <w:rFonts w:hint="eastAsia" w:ascii="微软雅黑" w:hAnsi="微软雅黑" w:cs="宋体"/>
          <w:color w:val="333333"/>
          <w:sz w:val="24"/>
          <w:szCs w:val="24"/>
        </w:rPr>
        <w:br w:type="textWrapping"/>
      </w:r>
      <w:r>
        <w:rPr>
          <w:rFonts w:ascii="微软雅黑" w:hAnsi="微软雅黑" w:cs="宋体"/>
          <w:color w:val="333333"/>
          <w:sz w:val="24"/>
          <w:szCs w:val="24"/>
        </w:rPr>
        <w:t xml:space="preserve">      </w:t>
      </w:r>
      <w:r>
        <w:rPr>
          <w:rFonts w:hint="eastAsia" w:ascii="微软雅黑" w:hAnsi="微软雅黑" w:cs="宋体"/>
          <w:color w:val="333333"/>
          <w:sz w:val="24"/>
          <w:szCs w:val="24"/>
        </w:rPr>
        <w:t>5.充电设备运行期间，中标人承担投放设备的维护维修费用。设备故障时，中标人2小时内响应，24小时内上门检修，及时与医院做好沟通。</w:t>
      </w:r>
      <w:r>
        <w:rPr>
          <w:rFonts w:hint="eastAsia" w:ascii="微软雅黑" w:hAnsi="微软雅黑" w:cs="宋体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宋体"/>
          <w:color w:val="333333"/>
          <w:sz w:val="24"/>
          <w:szCs w:val="24"/>
        </w:rPr>
        <w:t>       6.充电设备运行期间，中标人负责安全管理和日常运营，如因投放设备问题发生消防安全等责任事故，中标人承担全部责任。</w:t>
      </w:r>
      <w:r>
        <w:rPr>
          <w:rFonts w:hint="eastAsia" w:ascii="微软雅黑" w:hAnsi="微软雅黑" w:cs="宋体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宋体"/>
          <w:color w:val="333333"/>
          <w:sz w:val="24"/>
          <w:szCs w:val="24"/>
        </w:rPr>
        <w:t>       7.医院仅提供电源到指定位置，投放项目所需的设备设施、施工人员及安全责任、人员费用、所有辅材等均有中标人承担。</w:t>
      </w:r>
    </w:p>
    <w:p w14:paraId="50E9A65F">
      <w:pPr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微软雅黑" w:hAnsi="微软雅黑" w:cs="宋体"/>
          <w:color w:val="333333"/>
          <w:sz w:val="24"/>
          <w:szCs w:val="24"/>
          <w:lang w:val="en-US" w:eastAsia="zh-CN"/>
        </w:rPr>
        <w:t>8.中标人在收到中标通知书后五个工作日内须缴纳履约保证金3000元，转账至</w:t>
      </w:r>
      <w:r>
        <w:rPr>
          <w:rFonts w:hint="eastAsia" w:ascii="仿宋" w:hAnsi="仿宋" w:eastAsia="仿宋"/>
          <w:sz w:val="24"/>
        </w:rPr>
        <w:t>南通市第二</w:t>
      </w:r>
      <w:r>
        <w:rPr>
          <w:rFonts w:ascii="仿宋" w:hAnsi="仿宋" w:eastAsia="仿宋"/>
          <w:sz w:val="24"/>
        </w:rPr>
        <w:t>人民</w:t>
      </w:r>
      <w:r>
        <w:rPr>
          <w:rFonts w:hint="eastAsia" w:ascii="仿宋" w:hAnsi="仿宋" w:eastAsia="仿宋"/>
          <w:sz w:val="24"/>
        </w:rPr>
        <w:t>医院</w:t>
      </w:r>
      <w:r>
        <w:rPr>
          <w:rFonts w:hint="eastAsia" w:ascii="仿宋" w:hAnsi="仿宋" w:eastAsia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</w:rPr>
        <w:t>中国工商银行</w:t>
      </w:r>
      <w:r>
        <w:rPr>
          <w:rFonts w:ascii="仿宋" w:hAnsi="仿宋" w:eastAsia="仿宋"/>
          <w:sz w:val="24"/>
        </w:rPr>
        <w:t>唐闸支行</w:t>
      </w:r>
      <w:r>
        <w:rPr>
          <w:rFonts w:hint="eastAsia" w:ascii="仿宋" w:hAnsi="仿宋" w:eastAsia="仿宋"/>
          <w:sz w:val="24"/>
          <w:lang w:val="en-US" w:eastAsia="zh-CN"/>
        </w:rPr>
        <w:t xml:space="preserve">   </w:t>
      </w:r>
      <w:r>
        <w:rPr>
          <w:rFonts w:hint="eastAsia" w:ascii="仿宋" w:hAnsi="仿宋" w:eastAsia="仿宋"/>
          <w:sz w:val="24"/>
        </w:rPr>
        <w:t>1111823109000032897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p w14:paraId="6F9E6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/>
          <w:b/>
          <w:sz w:val="24"/>
        </w:rPr>
      </w:pPr>
      <w:r>
        <w:rPr>
          <w:rFonts w:hint="eastAsia" w:ascii="微软雅黑" w:hAnsi="微软雅黑" w:cs="宋体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宋体"/>
          <w:color w:val="333333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cs="宋体"/>
          <w:b/>
          <w:bCs/>
          <w:color w:val="333333"/>
          <w:sz w:val="24"/>
          <w:szCs w:val="24"/>
          <w:lang w:val="en-US" w:eastAsia="zh-CN"/>
        </w:rPr>
        <w:t>三</w:t>
      </w:r>
      <w:r>
        <w:rPr>
          <w:rFonts w:hint="eastAsia" w:ascii="微软雅黑" w:hAnsi="微软雅黑" w:cs="宋体"/>
          <w:b/>
          <w:bCs/>
          <w:color w:val="333333"/>
          <w:sz w:val="24"/>
          <w:szCs w:val="24"/>
        </w:rPr>
        <w:t>、资格审查内容（单独密封，材料不全视为无效投标）：</w:t>
      </w:r>
    </w:p>
    <w:p w14:paraId="483E3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微软雅黑" w:hAnsi="微软雅黑" w:cs="宋体"/>
          <w:color w:val="333333"/>
          <w:sz w:val="24"/>
          <w:szCs w:val="24"/>
        </w:rPr>
      </w:pPr>
      <w:r>
        <w:rPr>
          <w:rFonts w:hint="eastAsia" w:ascii="微软雅黑" w:hAnsi="微软雅黑" w:cs="宋体"/>
          <w:color w:val="333333"/>
          <w:sz w:val="24"/>
          <w:szCs w:val="24"/>
        </w:rPr>
        <w:t>1公司营业执照</w:t>
      </w:r>
    </w:p>
    <w:p w14:paraId="72D7F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微软雅黑" w:hAnsi="微软雅黑" w:cs="宋体"/>
          <w:color w:val="333333"/>
          <w:sz w:val="24"/>
          <w:szCs w:val="24"/>
        </w:rPr>
      </w:pPr>
      <w:r>
        <w:rPr>
          <w:rFonts w:hint="eastAsia" w:ascii="微软雅黑" w:hAnsi="微软雅黑" w:cs="宋体"/>
          <w:color w:val="333333"/>
          <w:sz w:val="24"/>
          <w:szCs w:val="24"/>
        </w:rPr>
        <w:t>2法定代表人身份证复印件</w:t>
      </w:r>
    </w:p>
    <w:p w14:paraId="0CDA9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微软雅黑" w:hAnsi="微软雅黑" w:cs="宋体"/>
          <w:color w:val="333333"/>
          <w:sz w:val="24"/>
          <w:szCs w:val="24"/>
        </w:rPr>
      </w:pPr>
      <w:r>
        <w:rPr>
          <w:rFonts w:hint="eastAsia" w:ascii="微软雅黑" w:hAnsi="微软雅黑" w:cs="宋体"/>
          <w:color w:val="333333"/>
          <w:sz w:val="24"/>
          <w:szCs w:val="24"/>
        </w:rPr>
        <w:t>3法定代表人授权书（法定代表人参加可以不提供）</w:t>
      </w:r>
    </w:p>
    <w:p w14:paraId="4F6BC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微软雅黑" w:hAnsi="微软雅黑" w:cs="宋体"/>
          <w:color w:val="333333"/>
          <w:sz w:val="24"/>
          <w:szCs w:val="24"/>
        </w:rPr>
      </w:pPr>
      <w:r>
        <w:rPr>
          <w:rFonts w:hint="eastAsia" w:ascii="微软雅黑" w:hAnsi="微软雅黑" w:cs="宋体"/>
          <w:color w:val="333333"/>
          <w:sz w:val="24"/>
          <w:szCs w:val="24"/>
        </w:rPr>
        <w:t>4授权代表身份证复印件（法定代表人参加可以不提供）</w:t>
      </w:r>
    </w:p>
    <w:p w14:paraId="426CD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微软雅黑" w:hAnsi="微软雅黑" w:cs="宋体"/>
          <w:color w:val="333333"/>
          <w:sz w:val="24"/>
          <w:szCs w:val="24"/>
        </w:rPr>
      </w:pPr>
      <w:r>
        <w:rPr>
          <w:rFonts w:hint="eastAsia" w:ascii="微软雅黑" w:hAnsi="微软雅黑" w:cs="宋体"/>
          <w:color w:val="333333"/>
          <w:sz w:val="24"/>
          <w:szCs w:val="24"/>
        </w:rPr>
        <w:t>5提供符合《政府采购法》第二十二条规定的声明。</w:t>
      </w:r>
    </w:p>
    <w:p w14:paraId="1966D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微软雅黑" w:hAnsi="微软雅黑" w:cs="宋体"/>
          <w:color w:val="333333"/>
          <w:sz w:val="24"/>
          <w:szCs w:val="24"/>
        </w:rPr>
      </w:pPr>
      <w:r>
        <w:rPr>
          <w:rFonts w:hint="eastAsia" w:ascii="微软雅黑" w:hAnsi="微软雅黑" w:cs="宋体"/>
          <w:color w:val="333333"/>
          <w:sz w:val="24"/>
          <w:szCs w:val="24"/>
        </w:rPr>
        <w:t>6提供有能力按照招标人的要求独立完成供货的，有良好的信誉的声明</w:t>
      </w:r>
    </w:p>
    <w:p w14:paraId="0FF9D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微软雅黑" w:hAnsi="微软雅黑" w:cs="宋体"/>
          <w:color w:val="333333"/>
          <w:sz w:val="24"/>
          <w:szCs w:val="24"/>
        </w:rPr>
      </w:pPr>
      <w:r>
        <w:rPr>
          <w:rFonts w:hint="eastAsia" w:ascii="微软雅黑" w:hAnsi="微软雅黑" w:cs="宋体"/>
          <w:color w:val="333333"/>
          <w:sz w:val="24"/>
          <w:szCs w:val="24"/>
        </w:rPr>
        <w:t>7提供投标产品的检测报告</w:t>
      </w:r>
    </w:p>
    <w:p w14:paraId="71D1E9A0">
      <w:pPr>
        <w:numPr>
          <w:ilvl w:val="0"/>
          <w:numId w:val="1"/>
        </w:numPr>
        <w:adjustRightInd/>
        <w:snapToGrid/>
        <w:spacing w:after="0"/>
        <w:ind w:left="551" w:leftChars="0" w:firstLine="0" w:firstLineChars="0"/>
        <w:rPr>
          <w:rFonts w:hint="eastAsia" w:ascii="微软雅黑" w:hAnsi="微软雅黑" w:cs="宋体"/>
          <w:color w:val="FF0000"/>
          <w:sz w:val="24"/>
          <w:szCs w:val="24"/>
        </w:rPr>
      </w:pPr>
      <w:r>
        <w:rPr>
          <w:rFonts w:hint="eastAsia" w:ascii="微软雅黑" w:hAnsi="微软雅黑" w:cs="宋体"/>
          <w:b/>
          <w:bCs/>
          <w:color w:val="333333"/>
          <w:sz w:val="24"/>
          <w:szCs w:val="24"/>
        </w:rPr>
        <w:t>评审方法（综合评分法）</w:t>
      </w:r>
      <w:r>
        <w:rPr>
          <w:rFonts w:hint="eastAsia" w:ascii="微软雅黑" w:hAnsi="微软雅黑" w:cs="宋体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宋体"/>
          <w:color w:val="333333"/>
          <w:sz w:val="24"/>
          <w:szCs w:val="24"/>
        </w:rPr>
        <w:t xml:space="preserve">      </w:t>
      </w:r>
      <w:r>
        <w:rPr>
          <w:rFonts w:hint="eastAsia" w:ascii="微软雅黑" w:hAnsi="微软雅黑" w:cs="宋体"/>
          <w:b/>
          <w:bCs/>
          <w:color w:val="333333"/>
          <w:sz w:val="24"/>
          <w:szCs w:val="24"/>
        </w:rPr>
        <w:t>价格分（5</w:t>
      </w:r>
      <w:r>
        <w:rPr>
          <w:rFonts w:ascii="微软雅黑" w:hAnsi="微软雅黑" w:cs="宋体"/>
          <w:b/>
          <w:bCs/>
          <w:color w:val="333333"/>
          <w:sz w:val="24"/>
          <w:szCs w:val="24"/>
        </w:rPr>
        <w:t>0</w:t>
      </w:r>
      <w:r>
        <w:rPr>
          <w:rFonts w:hint="eastAsia" w:ascii="微软雅黑" w:hAnsi="微软雅黑" w:cs="宋体"/>
          <w:b/>
          <w:bCs/>
          <w:color w:val="333333"/>
          <w:sz w:val="24"/>
          <w:szCs w:val="24"/>
        </w:rPr>
        <w:t>分）：</w:t>
      </w:r>
      <w:r>
        <w:rPr>
          <w:rFonts w:hint="eastAsia" w:ascii="微软雅黑" w:hAnsi="微软雅黑" w:cs="宋体"/>
          <w:color w:val="333333"/>
          <w:sz w:val="24"/>
          <w:szCs w:val="24"/>
        </w:rPr>
        <w:t>价格分采用高价优先法计算，每年向医院缴纳总</w:t>
      </w:r>
      <w:r>
        <w:rPr>
          <w:rFonts w:hint="eastAsia" w:ascii="微软雅黑" w:hAnsi="微软雅黑" w:cs="宋体"/>
          <w:color w:val="333333"/>
          <w:sz w:val="24"/>
          <w:szCs w:val="24"/>
          <w:lang w:val="en-US" w:eastAsia="zh-CN"/>
        </w:rPr>
        <w:t>流水</w:t>
      </w:r>
      <w:r>
        <w:rPr>
          <w:rFonts w:hint="eastAsia" w:ascii="微软雅黑" w:hAnsi="微软雅黑" w:cs="宋体"/>
          <w:color w:val="333333"/>
          <w:sz w:val="24"/>
          <w:szCs w:val="24"/>
        </w:rPr>
        <w:t>的百分比最高者得满分5</w:t>
      </w:r>
      <w:r>
        <w:rPr>
          <w:rFonts w:ascii="微软雅黑" w:hAnsi="微软雅黑" w:cs="宋体"/>
          <w:color w:val="333333"/>
          <w:sz w:val="24"/>
          <w:szCs w:val="24"/>
        </w:rPr>
        <w:t>0</w:t>
      </w:r>
      <w:r>
        <w:rPr>
          <w:rFonts w:hint="eastAsia" w:ascii="微软雅黑" w:hAnsi="微软雅黑" w:cs="宋体"/>
          <w:color w:val="333333"/>
          <w:sz w:val="24"/>
          <w:szCs w:val="24"/>
        </w:rPr>
        <w:t>分，</w:t>
      </w:r>
      <w:r>
        <w:rPr>
          <w:rFonts w:ascii="微软雅黑" w:hAnsi="微软雅黑" w:cs="宋体"/>
          <w:color w:val="333333"/>
          <w:sz w:val="24"/>
          <w:szCs w:val="24"/>
        </w:rPr>
        <w:t xml:space="preserve"> </w:t>
      </w:r>
      <w:r>
        <w:rPr>
          <w:rFonts w:hint="eastAsia" w:ascii="微软雅黑" w:hAnsi="微软雅黑" w:cs="宋体"/>
          <w:color w:val="FF0000"/>
          <w:sz w:val="24"/>
          <w:szCs w:val="24"/>
        </w:rPr>
        <w:t>其他投标人的价格分按照下列公式计算：</w:t>
      </w:r>
    </w:p>
    <w:p w14:paraId="4F7C79AC">
      <w:pPr>
        <w:numPr>
          <w:ilvl w:val="0"/>
          <w:numId w:val="0"/>
        </w:numPr>
        <w:adjustRightInd/>
        <w:snapToGrid/>
        <w:spacing w:after="0"/>
        <w:ind w:left="551" w:leftChars="0"/>
        <w:rPr>
          <w:rFonts w:hint="default" w:ascii="微软雅黑" w:hAnsi="微软雅黑" w:eastAsia="宋体" w:cs="宋体"/>
          <w:color w:val="FF0000"/>
          <w:sz w:val="24"/>
          <w:szCs w:val="24"/>
          <w:lang w:val="en-US" w:eastAsia="zh-CN"/>
        </w:rPr>
      </w:pPr>
      <m:oMath>
        <m:f>
          <m:fPr>
            <m:ctrlPr>
              <w:rPr>
                <w:rFonts w:ascii="Cambria Math" w:hAnsi="Cambria Math" w:cs="宋体"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cs="宋体"/>
                <w:color w:val="FF0000"/>
                <w:sz w:val="24"/>
                <w:szCs w:val="24"/>
                <w:lang w:val="en-US" w:eastAsia="zh-CN"/>
              </w:rPr>
              <m:t>投标人</m:t>
            </m:r>
            <m:r>
              <m:rPr>
                <m:sty m:val="p"/>
              </m:rP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m:t>每年向医院缴纳总</m:t>
            </m:r>
            <m:r>
              <m:rPr>
                <m:sty m:val="p"/>
              </m:rPr>
              <w:rPr>
                <w:rFonts w:hint="eastAsia" w:ascii="Cambria Math" w:hAnsi="Cambria Math" w:cs="宋体"/>
                <w:color w:val="333333"/>
                <w:sz w:val="24"/>
                <w:szCs w:val="24"/>
                <w:lang w:val="en-US" w:eastAsia="zh-CN"/>
              </w:rPr>
              <m:t>流水</m:t>
            </m:r>
            <m:r>
              <m:rPr>
                <m:sty m:val="p"/>
              </m:rP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m:t>的百分比</m:t>
            </m:r>
            <m:ctrlPr>
              <w:rPr>
                <w:rFonts w:ascii="Cambria Math" w:hAnsi="Cambria Math" w:cs="宋体"/>
                <w:i/>
                <w:color w:val="FF0000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m:t>每年向医院缴纳总</m:t>
            </m:r>
            <m:r>
              <m:rPr>
                <m:sty m:val="p"/>
              </m:rPr>
              <w:rPr>
                <w:rFonts w:hint="eastAsia" w:ascii="Cambria Math" w:hAnsi="Cambria Math" w:cs="宋体"/>
                <w:color w:val="333333"/>
                <w:sz w:val="24"/>
                <w:szCs w:val="24"/>
                <w:lang w:val="en-US" w:eastAsia="zh-CN"/>
              </w:rPr>
              <m:t>流水</m:t>
            </m:r>
            <m:r>
              <m:rPr>
                <m:sty m:val="p"/>
              </m:rP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m:t>的百分比最高者</m:t>
            </m:r>
            <m:ctrlPr>
              <w:rPr>
                <w:rFonts w:ascii="Cambria Math" w:hAnsi="Cambria Math" w:cs="宋体"/>
                <w:i/>
                <w:color w:val="FF0000"/>
                <w:sz w:val="24"/>
                <w:szCs w:val="24"/>
              </w:rPr>
            </m:ctrlPr>
          </m:den>
        </m:f>
        <m:r>
          <m:rPr/>
          <w:rPr>
            <w:rFonts w:hint="default" w:ascii="Cambria Math" w:hAnsi="Cambria Math" w:cs="Cambria Math"/>
            <w:color w:val="FF0000"/>
            <w:sz w:val="24"/>
            <w:szCs w:val="24"/>
          </w:rPr>
          <m:t>×</m:t>
        </m:r>
        <m:r>
          <m:rPr/>
          <w:rPr>
            <w:rFonts w:hint="default" w:ascii="Cambria Math" w:hAnsi="Cambria Math" w:cs="Cambria Math"/>
            <w:color w:val="FF0000"/>
            <w:sz w:val="24"/>
            <w:szCs w:val="24"/>
            <w:lang w:val="en-US" w:eastAsia="zh-CN"/>
          </w:rPr>
          <m:t>50</m:t>
        </m:r>
      </m:oMath>
      <w:r>
        <w:rPr>
          <w:rFonts w:hint="eastAsia" w:hAnsi="Cambria Math" w:cs="Cambria Math"/>
          <w:i w:val="0"/>
          <w:color w:val="FF0000"/>
          <w:sz w:val="24"/>
          <w:szCs w:val="24"/>
          <w:lang w:val="en-US" w:eastAsia="zh-CN"/>
        </w:rPr>
        <w:t>（得分保留小数点后两位）（向医院缴纳总流水比例不得低于60%，否则作废标处理）</w:t>
      </w:r>
      <w:bookmarkStart w:id="0" w:name="_GoBack"/>
      <w:bookmarkEnd w:id="0"/>
    </w:p>
    <w:p w14:paraId="46FFD4E8">
      <w:pPr>
        <w:adjustRightInd/>
        <w:snapToGrid/>
        <w:spacing w:after="0"/>
        <w:ind w:firstLine="482" w:firstLineChars="200"/>
        <w:rPr>
          <w:rFonts w:ascii="微软雅黑" w:hAnsi="微软雅黑" w:cs="宋体"/>
          <w:b/>
          <w:bCs/>
          <w:color w:val="333333"/>
          <w:sz w:val="24"/>
          <w:szCs w:val="24"/>
        </w:rPr>
      </w:pPr>
      <w:r>
        <w:rPr>
          <w:rFonts w:hint="eastAsia" w:ascii="微软雅黑" w:hAnsi="微软雅黑" w:cs="宋体"/>
          <w:b/>
          <w:bCs/>
          <w:color w:val="333333"/>
          <w:sz w:val="24"/>
          <w:szCs w:val="24"/>
        </w:rPr>
        <w:t>技术及商务分（5</w:t>
      </w:r>
      <w:r>
        <w:rPr>
          <w:rFonts w:ascii="微软雅黑" w:hAnsi="微软雅黑" w:cs="宋体"/>
          <w:b/>
          <w:bCs/>
          <w:color w:val="333333"/>
          <w:sz w:val="24"/>
          <w:szCs w:val="24"/>
        </w:rPr>
        <w:t>0</w:t>
      </w:r>
      <w:r>
        <w:rPr>
          <w:rFonts w:hint="eastAsia" w:ascii="微软雅黑" w:hAnsi="微软雅黑" w:cs="宋体"/>
          <w:b/>
          <w:bCs/>
          <w:color w:val="333333"/>
          <w:sz w:val="24"/>
          <w:szCs w:val="24"/>
        </w:rPr>
        <w:t>分）：</w:t>
      </w:r>
    </w:p>
    <w:p w14:paraId="56BFF85C">
      <w:pPr>
        <w:pStyle w:val="4"/>
        <w:adjustRightInd/>
        <w:snapToGrid/>
        <w:spacing w:after="0"/>
        <w:ind w:firstLine="480"/>
        <w:rPr>
          <w:rFonts w:ascii="微软雅黑" w:hAnsi="微软雅黑" w:cs="宋体"/>
          <w:color w:val="333333"/>
          <w:sz w:val="24"/>
          <w:szCs w:val="24"/>
        </w:rPr>
      </w:pPr>
      <w:r>
        <w:rPr>
          <w:rFonts w:hint="eastAsia" w:ascii="微软雅黑" w:hAnsi="微软雅黑" w:cs="宋体"/>
          <w:color w:val="333333"/>
          <w:sz w:val="24"/>
          <w:szCs w:val="24"/>
        </w:rPr>
        <w:t>1</w:t>
      </w:r>
      <w:r>
        <w:rPr>
          <w:rFonts w:ascii="微软雅黑" w:hAnsi="微软雅黑" w:cs="宋体"/>
          <w:color w:val="333333"/>
          <w:sz w:val="24"/>
          <w:szCs w:val="24"/>
        </w:rPr>
        <w:t>.</w:t>
      </w:r>
      <w:r>
        <w:rPr>
          <w:rFonts w:hint="eastAsia" w:ascii="微软雅黑" w:hAnsi="微软雅黑" w:cs="宋体"/>
          <w:color w:val="333333"/>
          <w:sz w:val="24"/>
          <w:szCs w:val="24"/>
        </w:rPr>
        <w:t>业绩（1</w:t>
      </w:r>
      <w:r>
        <w:rPr>
          <w:rFonts w:ascii="微软雅黑" w:hAnsi="微软雅黑" w:cs="宋体"/>
          <w:color w:val="333333"/>
          <w:sz w:val="24"/>
          <w:szCs w:val="24"/>
        </w:rPr>
        <w:t>5</w:t>
      </w:r>
      <w:r>
        <w:rPr>
          <w:rFonts w:hint="eastAsia" w:ascii="微软雅黑" w:hAnsi="微软雅黑" w:cs="宋体"/>
          <w:color w:val="333333"/>
          <w:sz w:val="24"/>
          <w:szCs w:val="24"/>
        </w:rPr>
        <w:t>分）：投标人提供自2</w:t>
      </w:r>
      <w:r>
        <w:rPr>
          <w:rFonts w:ascii="微软雅黑" w:hAnsi="微软雅黑" w:cs="宋体"/>
          <w:color w:val="333333"/>
          <w:sz w:val="24"/>
          <w:szCs w:val="24"/>
        </w:rPr>
        <w:t>022</w:t>
      </w:r>
      <w:r>
        <w:rPr>
          <w:rFonts w:hint="eastAsia" w:ascii="微软雅黑" w:hAnsi="微软雅黑" w:cs="宋体"/>
          <w:color w:val="333333"/>
          <w:sz w:val="24"/>
          <w:szCs w:val="24"/>
        </w:rPr>
        <w:t>年以来与本项目类似成功案例业绩的，每一份得3分，最高得1</w:t>
      </w:r>
      <w:r>
        <w:rPr>
          <w:rFonts w:ascii="微软雅黑" w:hAnsi="微软雅黑" w:cs="宋体"/>
          <w:color w:val="333333"/>
          <w:sz w:val="24"/>
          <w:szCs w:val="24"/>
        </w:rPr>
        <w:t>5</w:t>
      </w:r>
      <w:r>
        <w:rPr>
          <w:rFonts w:hint="eastAsia" w:ascii="微软雅黑" w:hAnsi="微软雅黑" w:cs="宋体"/>
          <w:color w:val="333333"/>
          <w:sz w:val="24"/>
          <w:szCs w:val="24"/>
        </w:rPr>
        <w:t>分。</w:t>
      </w:r>
    </w:p>
    <w:p w14:paraId="42E1222F">
      <w:pPr>
        <w:adjustRightInd/>
        <w:snapToGrid/>
        <w:spacing w:after="0"/>
        <w:rPr>
          <w:rFonts w:ascii="微软雅黑" w:hAnsi="微软雅黑" w:cs="宋体"/>
          <w:color w:val="333333"/>
          <w:sz w:val="24"/>
          <w:szCs w:val="24"/>
        </w:rPr>
      </w:pPr>
      <w:r>
        <w:rPr>
          <w:rFonts w:hint="eastAsia" w:ascii="微软雅黑" w:hAnsi="微软雅黑" w:cs="宋体"/>
          <w:color w:val="333333"/>
          <w:sz w:val="24"/>
          <w:szCs w:val="24"/>
        </w:rPr>
        <w:t xml:space="preserve"> </w:t>
      </w:r>
      <w:r>
        <w:rPr>
          <w:rFonts w:ascii="微软雅黑" w:hAnsi="微软雅黑" w:cs="宋体"/>
          <w:color w:val="333333"/>
          <w:sz w:val="24"/>
          <w:szCs w:val="24"/>
        </w:rPr>
        <w:t xml:space="preserve">   2.</w:t>
      </w:r>
      <w:r>
        <w:rPr>
          <w:rFonts w:hint="eastAsia" w:ascii="微软雅黑" w:hAnsi="微软雅黑" w:cs="宋体"/>
          <w:color w:val="333333"/>
          <w:sz w:val="24"/>
          <w:szCs w:val="24"/>
        </w:rPr>
        <w:t>项目实施方案（1</w:t>
      </w:r>
      <w:r>
        <w:rPr>
          <w:rFonts w:ascii="微软雅黑" w:hAnsi="微软雅黑" w:cs="宋体"/>
          <w:color w:val="333333"/>
          <w:sz w:val="24"/>
          <w:szCs w:val="24"/>
        </w:rPr>
        <w:t>5</w:t>
      </w:r>
      <w:r>
        <w:rPr>
          <w:rFonts w:hint="eastAsia" w:ascii="微软雅黑" w:hAnsi="微软雅黑" w:cs="宋体"/>
          <w:color w:val="333333"/>
          <w:sz w:val="24"/>
          <w:szCs w:val="24"/>
        </w:rPr>
        <w:t>分）：评委根据投标人提供的项目实施方案（包括且不限于设备到货、安装、调试、验收、培训等）进行横向对比评审，方案内容科学合理、完整、切实可行的得1</w:t>
      </w:r>
      <w:r>
        <w:rPr>
          <w:rFonts w:ascii="微软雅黑" w:hAnsi="微软雅黑" w:cs="宋体"/>
          <w:color w:val="333333"/>
          <w:sz w:val="24"/>
          <w:szCs w:val="24"/>
        </w:rPr>
        <w:t>5</w:t>
      </w:r>
      <w:r>
        <w:rPr>
          <w:rFonts w:hint="eastAsia" w:ascii="微软雅黑" w:hAnsi="微软雅黑" w:cs="宋体"/>
          <w:color w:val="333333"/>
          <w:sz w:val="24"/>
          <w:szCs w:val="24"/>
        </w:rPr>
        <w:t>分；方案内容基本科学合理、完整，较为可行的得1</w:t>
      </w:r>
      <w:r>
        <w:rPr>
          <w:rFonts w:ascii="微软雅黑" w:hAnsi="微软雅黑" w:cs="宋体"/>
          <w:color w:val="333333"/>
          <w:sz w:val="24"/>
          <w:szCs w:val="24"/>
        </w:rPr>
        <w:t>0</w:t>
      </w:r>
      <w:r>
        <w:rPr>
          <w:rFonts w:hint="eastAsia" w:ascii="微软雅黑" w:hAnsi="微软雅黑" w:cs="宋体"/>
          <w:color w:val="333333"/>
          <w:sz w:val="24"/>
          <w:szCs w:val="24"/>
        </w:rPr>
        <w:t>分；方案内容不完整、欠科学合理、可行性欠妥的得5分；不提供不得分。</w:t>
      </w:r>
    </w:p>
    <w:p w14:paraId="15AE0778">
      <w:pPr>
        <w:adjustRightInd/>
        <w:snapToGrid/>
        <w:spacing w:after="0"/>
        <w:rPr>
          <w:rFonts w:hint="eastAsia" w:ascii="微软雅黑" w:hAnsi="微软雅黑" w:cs="宋体"/>
          <w:color w:val="333333"/>
          <w:sz w:val="24"/>
          <w:szCs w:val="24"/>
        </w:rPr>
      </w:pPr>
      <w:r>
        <w:rPr>
          <w:rFonts w:ascii="微软雅黑" w:hAnsi="微软雅黑" w:cs="宋体"/>
          <w:color w:val="333333"/>
          <w:sz w:val="24"/>
          <w:szCs w:val="24"/>
        </w:rPr>
        <w:t xml:space="preserve">     3.</w:t>
      </w:r>
      <w:r>
        <w:rPr>
          <w:rFonts w:hint="eastAsia" w:ascii="微软雅黑" w:hAnsi="微软雅黑" w:cs="宋体"/>
          <w:color w:val="333333"/>
          <w:sz w:val="24"/>
          <w:szCs w:val="24"/>
        </w:rPr>
        <w:t>安全防范措施（2</w:t>
      </w:r>
      <w:r>
        <w:rPr>
          <w:rFonts w:ascii="微软雅黑" w:hAnsi="微软雅黑" w:cs="宋体"/>
          <w:color w:val="333333"/>
          <w:sz w:val="24"/>
          <w:szCs w:val="24"/>
        </w:rPr>
        <w:t>0</w:t>
      </w:r>
      <w:r>
        <w:rPr>
          <w:rFonts w:hint="eastAsia" w:ascii="微软雅黑" w:hAnsi="微软雅黑" w:cs="宋体"/>
          <w:color w:val="333333"/>
          <w:sz w:val="24"/>
          <w:szCs w:val="24"/>
        </w:rPr>
        <w:t>分）：评委根据投标人提供的安全防范措施（包括且不限于安全保护设施、定期巡检计划、宣传物、突发事件应急方案等）进行横向对比评审，措施内容科学合理、完整、切实可行的得2</w:t>
      </w:r>
      <w:r>
        <w:rPr>
          <w:rFonts w:ascii="微软雅黑" w:hAnsi="微软雅黑" w:cs="宋体"/>
          <w:color w:val="333333"/>
          <w:sz w:val="24"/>
          <w:szCs w:val="24"/>
        </w:rPr>
        <w:t>0</w:t>
      </w:r>
      <w:r>
        <w:rPr>
          <w:rFonts w:hint="eastAsia" w:ascii="微软雅黑" w:hAnsi="微软雅黑" w:cs="宋体"/>
          <w:color w:val="333333"/>
          <w:sz w:val="24"/>
          <w:szCs w:val="24"/>
        </w:rPr>
        <w:t>分；措施内容基本科学合理、完整，较为可行的得1</w:t>
      </w:r>
      <w:r>
        <w:rPr>
          <w:rFonts w:ascii="微软雅黑" w:hAnsi="微软雅黑" w:cs="宋体"/>
          <w:color w:val="333333"/>
          <w:sz w:val="24"/>
          <w:szCs w:val="24"/>
        </w:rPr>
        <w:t>5</w:t>
      </w:r>
      <w:r>
        <w:rPr>
          <w:rFonts w:hint="eastAsia" w:ascii="微软雅黑" w:hAnsi="微软雅黑" w:cs="宋体"/>
          <w:color w:val="333333"/>
          <w:sz w:val="24"/>
          <w:szCs w:val="24"/>
        </w:rPr>
        <w:t>分；措施内容不完整、欠科学合理、可行性欠妥的得</w:t>
      </w:r>
      <w:r>
        <w:rPr>
          <w:rFonts w:ascii="微软雅黑" w:hAnsi="微软雅黑" w:cs="宋体"/>
          <w:color w:val="333333"/>
          <w:sz w:val="24"/>
          <w:szCs w:val="24"/>
        </w:rPr>
        <w:t>10</w:t>
      </w:r>
      <w:r>
        <w:rPr>
          <w:rFonts w:hint="eastAsia" w:ascii="微软雅黑" w:hAnsi="微软雅黑" w:cs="宋体"/>
          <w:color w:val="333333"/>
          <w:sz w:val="24"/>
          <w:szCs w:val="24"/>
        </w:rPr>
        <w:t>分；措施内容存在明显安全隐患的得5分；不提供不得分。</w:t>
      </w:r>
    </w:p>
    <w:p w14:paraId="68B2CB65">
      <w:pPr>
        <w:adjustRightInd/>
        <w:snapToGrid/>
        <w:spacing w:after="0"/>
        <w:ind w:firstLine="482" w:firstLineChars="200"/>
        <w:rPr>
          <w:rFonts w:hint="default" w:ascii="微软雅黑" w:hAnsi="微软雅黑" w:cs="宋体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cs="宋体"/>
          <w:b/>
          <w:bCs/>
          <w:color w:val="333333"/>
          <w:sz w:val="24"/>
          <w:szCs w:val="24"/>
        </w:rPr>
        <w:t> </w:t>
      </w:r>
      <w:r>
        <w:rPr>
          <w:rFonts w:hint="eastAsia" w:ascii="微软雅黑" w:hAnsi="微软雅黑" w:cs="宋体"/>
          <w:b/>
          <w:bCs/>
          <w:color w:val="333333"/>
          <w:sz w:val="24"/>
          <w:szCs w:val="24"/>
          <w:lang w:val="en-US" w:eastAsia="zh-CN"/>
        </w:rPr>
        <w:t>五</w:t>
      </w:r>
      <w:r>
        <w:rPr>
          <w:rFonts w:hint="eastAsia" w:ascii="微软雅黑" w:hAnsi="微软雅黑" w:cs="宋体"/>
          <w:b/>
          <w:bCs/>
          <w:color w:val="333333"/>
          <w:sz w:val="24"/>
          <w:szCs w:val="24"/>
        </w:rPr>
        <w:t>、</w:t>
      </w:r>
      <w:r>
        <w:rPr>
          <w:rFonts w:hint="eastAsia" w:ascii="微软雅黑" w:hAnsi="微软雅黑" w:cs="宋体"/>
          <w:b/>
          <w:bCs/>
          <w:color w:val="333333"/>
          <w:sz w:val="24"/>
          <w:szCs w:val="24"/>
          <w:lang w:val="en-US" w:eastAsia="zh-CN"/>
        </w:rPr>
        <w:t>报价一览表</w:t>
      </w:r>
    </w:p>
    <w:p w14:paraId="25194090">
      <w:pPr>
        <w:spacing w:line="360" w:lineRule="auto"/>
        <w:jc w:val="center"/>
        <w:rPr>
          <w:rFonts w:ascii="仿宋" w:hAnsi="仿宋" w:eastAsia="仿宋" w:cs="Times New Roman"/>
          <w:b/>
          <w:sz w:val="44"/>
          <w:szCs w:val="44"/>
        </w:rPr>
      </w:pPr>
      <w:r>
        <w:rPr>
          <w:rFonts w:hint="eastAsia" w:ascii="仿宋" w:hAnsi="仿宋" w:eastAsia="仿宋" w:cs="Times New Roman"/>
          <w:b/>
          <w:sz w:val="44"/>
          <w:szCs w:val="44"/>
        </w:rPr>
        <w:t>报价</w:t>
      </w:r>
      <w:r>
        <w:rPr>
          <w:rFonts w:ascii="仿宋" w:hAnsi="仿宋" w:eastAsia="仿宋" w:cs="Times New Roman"/>
          <w:b/>
          <w:sz w:val="44"/>
          <w:szCs w:val="44"/>
        </w:rPr>
        <w:t>表</w:t>
      </w:r>
    </w:p>
    <w:p w14:paraId="5A2FC2A1">
      <w:pPr>
        <w:spacing w:line="360" w:lineRule="auto"/>
        <w:jc w:val="righ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报价</w:t>
      </w:r>
      <w:r>
        <w:rPr>
          <w:rFonts w:ascii="仿宋" w:hAnsi="仿宋" w:eastAsia="仿宋" w:cs="Times New Roman"/>
          <w:sz w:val="28"/>
          <w:szCs w:val="28"/>
        </w:rPr>
        <w:t>日期：</w:t>
      </w:r>
      <w:r>
        <w:rPr>
          <w:rFonts w:hint="eastAsia" w:ascii="仿宋" w:hAnsi="仿宋" w:eastAsia="仿宋" w:cs="Times New Roman"/>
          <w:sz w:val="28"/>
          <w:szCs w:val="28"/>
        </w:rPr>
        <w:t xml:space="preserve">   年   月  日</w:t>
      </w:r>
    </w:p>
    <w:tbl>
      <w:tblPr>
        <w:tblStyle w:val="2"/>
        <w:tblW w:w="892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7"/>
        <w:gridCol w:w="1648"/>
        <w:gridCol w:w="2268"/>
        <w:gridCol w:w="2268"/>
      </w:tblGrid>
      <w:tr w14:paraId="0FB8D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 w14:paraId="2DE19F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项目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618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9F2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南通市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第二人民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医院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电瓶车充电桩投放项目</w:t>
            </w:r>
          </w:p>
        </w:tc>
      </w:tr>
      <w:tr w14:paraId="283E0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 w14:paraId="09E27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公司全称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盖章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618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839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6FF0D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 w14:paraId="31FB68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业务员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6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76B1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0F89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联系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话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981E6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234B8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 w14:paraId="022E3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公司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承诺</w:t>
            </w:r>
          </w:p>
        </w:tc>
        <w:tc>
          <w:tcPr>
            <w:tcW w:w="618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946C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我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公司承诺按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招标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文件及合同约定缴纳电费及管理费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，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如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因我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公司投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放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设备而发生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的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安全生产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消防安全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等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责任事故，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我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公司承担所有责任和损失。</w:t>
            </w:r>
          </w:p>
        </w:tc>
      </w:tr>
      <w:tr w14:paraId="2E5CF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 w14:paraId="2E9A2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管理费</w:t>
            </w:r>
          </w:p>
        </w:tc>
        <w:tc>
          <w:tcPr>
            <w:tcW w:w="618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A28F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向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医院缴纳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总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流水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的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 xml:space="preserve"> %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作为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管理费</w:t>
            </w:r>
          </w:p>
        </w:tc>
      </w:tr>
      <w:tr w14:paraId="42710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2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 w14:paraId="3BB4A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优惠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条件</w:t>
            </w:r>
          </w:p>
        </w:tc>
        <w:tc>
          <w:tcPr>
            <w:tcW w:w="618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7A0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</w:tbl>
    <w:p w14:paraId="3F350BF7">
      <w:pPr>
        <w:adjustRightInd/>
        <w:snapToGrid/>
        <w:spacing w:after="0"/>
        <w:rPr>
          <w:rFonts w:hint="eastAsia" w:ascii="微软雅黑" w:hAnsi="微软雅黑" w:cs="宋体"/>
          <w:color w:val="333333"/>
          <w:sz w:val="24"/>
          <w:szCs w:val="24"/>
        </w:rPr>
      </w:pPr>
    </w:p>
    <w:p w14:paraId="5BE7A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微软雅黑" w:hAnsi="微软雅黑" w:cs="宋体"/>
          <w:color w:val="E54C5E" w:themeColor="accent6"/>
          <w:sz w:val="24"/>
          <w:szCs w:val="24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cs="宋体"/>
          <w:color w:val="E54C5E" w:themeColor="accent6"/>
          <w:sz w:val="24"/>
          <w:szCs w:val="24"/>
          <w14:textFill>
            <w14:solidFill>
              <w14:schemeClr w14:val="accent6"/>
            </w14:solidFill>
          </w14:textFill>
        </w:rPr>
        <w:t xml:space="preserve"> </w:t>
      </w:r>
    </w:p>
    <w:p w14:paraId="556BC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微软雅黑" w:hAnsi="微软雅黑" w:cs="宋体"/>
          <w:color w:val="333333"/>
          <w:sz w:val="24"/>
          <w:szCs w:val="24"/>
        </w:rPr>
      </w:pPr>
      <w:r>
        <w:rPr>
          <w:rFonts w:hint="eastAsia" w:ascii="微软雅黑" w:hAnsi="微软雅黑" w:cs="宋体"/>
          <w:color w:val="E54C5E" w:themeColor="accent6"/>
          <w:sz w:val="24"/>
          <w:szCs w:val="24"/>
          <w14:textFill>
            <w14:solidFill>
              <w14:schemeClr w14:val="accent6"/>
            </w14:solidFill>
          </w14:textFill>
        </w:rPr>
        <w:t> </w:t>
      </w:r>
      <w:r>
        <w:rPr>
          <w:rFonts w:hint="eastAsia" w:ascii="微软雅黑" w:hAnsi="微软雅黑" w:cs="宋体"/>
          <w:b/>
          <w:bCs/>
          <w:color w:val="E54C5E" w:themeColor="accent6"/>
          <w:sz w:val="24"/>
          <w:szCs w:val="24"/>
          <w14:textFill>
            <w14:solidFill>
              <w14:schemeClr w14:val="accent6"/>
            </w14:solidFill>
          </w14:textFill>
        </w:rPr>
        <w:t>注意事项：</w:t>
      </w:r>
      <w:r>
        <w:rPr>
          <w:rFonts w:hint="eastAsia" w:ascii="微软雅黑" w:hAnsi="微软雅黑" w:cs="宋体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宋体"/>
          <w:color w:val="333333"/>
          <w:sz w:val="24"/>
          <w:szCs w:val="24"/>
        </w:rPr>
        <w:t>       1、报价填写需清晰，否则视为无效投标。</w:t>
      </w:r>
      <w:r>
        <w:rPr>
          <w:rFonts w:hint="eastAsia" w:ascii="微软雅黑" w:hAnsi="微软雅黑" w:cs="宋体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宋体"/>
          <w:color w:val="333333"/>
          <w:sz w:val="24"/>
          <w:szCs w:val="24"/>
        </w:rPr>
        <w:t>       2、投标材料需密封，封面注明项目名称、公司名称、联系人及电话，现场送达或物流送达（需密封，然后再包装邮寄）。</w:t>
      </w:r>
    </w:p>
    <w:p w14:paraId="5FB75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微软雅黑" w:hAnsi="微软雅黑" w:cs="宋体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cs="宋体"/>
          <w:color w:val="333333"/>
          <w:sz w:val="24"/>
          <w:szCs w:val="24"/>
          <w:lang w:val="en-US" w:eastAsia="zh-CN"/>
        </w:rPr>
        <w:t>投标文件应由三部分组成：</w:t>
      </w:r>
    </w:p>
    <w:p w14:paraId="4AAF8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微软雅黑" w:hAnsi="微软雅黑" w:cs="宋体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cs="宋体"/>
          <w:color w:val="333333"/>
          <w:sz w:val="24"/>
          <w:szCs w:val="24"/>
          <w:lang w:val="en-US" w:eastAsia="zh-CN"/>
        </w:rPr>
        <w:t>资格审查文件（目录详见第三部分资格审查内容）</w:t>
      </w:r>
    </w:p>
    <w:p w14:paraId="42259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微软雅黑" w:hAnsi="微软雅黑" w:cs="宋体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cs="宋体"/>
          <w:color w:val="333333"/>
          <w:sz w:val="24"/>
          <w:szCs w:val="24"/>
          <w:lang w:val="en-US" w:eastAsia="zh-CN"/>
        </w:rPr>
        <w:t>商务技术文件（目录详见技术及商务分评分标准）</w:t>
      </w:r>
    </w:p>
    <w:p w14:paraId="25A47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微软雅黑" w:hAnsi="微软雅黑" w:cs="宋体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cs="宋体"/>
          <w:color w:val="333333"/>
          <w:sz w:val="24"/>
          <w:szCs w:val="24"/>
          <w:lang w:val="en-US" w:eastAsia="zh-CN"/>
        </w:rPr>
        <w:t>报价文件</w:t>
      </w:r>
    </w:p>
    <w:p w14:paraId="21DB7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微软雅黑" w:hAnsi="微软雅黑" w:cs="宋体"/>
          <w:color w:val="333333"/>
          <w:sz w:val="24"/>
          <w:szCs w:val="24"/>
        </w:rPr>
      </w:pPr>
      <w:r>
        <w:rPr>
          <w:rFonts w:hint="eastAsia" w:ascii="微软雅黑" w:hAnsi="微软雅黑" w:cs="宋体"/>
          <w:color w:val="333333"/>
          <w:sz w:val="24"/>
          <w:szCs w:val="24"/>
          <w:lang w:val="en-US" w:eastAsia="zh-CN"/>
        </w:rPr>
        <w:t>三部分分别密封包装，各一式三份，评标时依次打开，混装或包装不符合规范的按照废标处理。</w:t>
      </w:r>
      <w:r>
        <w:rPr>
          <w:rFonts w:hint="eastAsia" w:ascii="微软雅黑" w:hAnsi="微软雅黑" w:cs="宋体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宋体"/>
          <w:color w:val="333333"/>
          <w:sz w:val="24"/>
          <w:szCs w:val="24"/>
        </w:rPr>
        <w:t>       3、中标人需在中标后五个工作日内联系医院签约，否则视为放弃中标。</w:t>
      </w:r>
    </w:p>
    <w:p w14:paraId="1FB00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textAlignment w:val="auto"/>
        <w:rPr>
          <w:rFonts w:ascii="仿宋" w:hAnsi="仿宋" w:eastAsia="仿宋"/>
          <w:sz w:val="24"/>
        </w:rPr>
      </w:pPr>
      <w:r>
        <w:rPr>
          <w:rFonts w:hint="eastAsia" w:ascii="微软雅黑" w:hAnsi="微软雅黑" w:cs="宋体"/>
          <w:color w:val="333333"/>
          <w:sz w:val="24"/>
          <w:szCs w:val="24"/>
          <w:lang w:val="en-US" w:eastAsia="zh-CN"/>
        </w:rPr>
        <w:t>4、中标人须提供后台账号操作权限供院方不定期核查流水。</w:t>
      </w:r>
      <w:r>
        <w:rPr>
          <w:rFonts w:hint="eastAsia" w:ascii="微软雅黑" w:hAnsi="微软雅黑" w:cs="宋体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宋体"/>
          <w:color w:val="333333"/>
          <w:sz w:val="24"/>
          <w:szCs w:val="24"/>
        </w:rPr>
        <w:t>       </w:t>
      </w:r>
      <w:r>
        <w:rPr>
          <w:rFonts w:hint="eastAsia" w:ascii="微软雅黑" w:hAnsi="微软雅黑" w:cs="宋体"/>
          <w:color w:val="333333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cs="宋体"/>
          <w:color w:val="333333"/>
          <w:sz w:val="24"/>
          <w:szCs w:val="24"/>
        </w:rPr>
        <w:t>、医院不组织集中踏勘，如需自行踏勘，可联系总务科陶老师，联系电话13358062789。</w:t>
      </w:r>
      <w:r>
        <w:rPr>
          <w:rFonts w:hint="eastAsia" w:ascii="微软雅黑" w:hAnsi="微软雅黑" w:cs="宋体"/>
          <w:color w:val="333333"/>
          <w:sz w:val="24"/>
          <w:szCs w:val="24"/>
        </w:rPr>
        <w:br w:type="textWrapping"/>
      </w:r>
    </w:p>
    <w:p w14:paraId="61AF2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624978"/>
    <w:multiLevelType w:val="singleLevel"/>
    <w:tmpl w:val="26624978"/>
    <w:lvl w:ilvl="0" w:tentative="0">
      <w:start w:val="4"/>
      <w:numFmt w:val="chineseCounting"/>
      <w:suff w:val="nothing"/>
      <w:lvlText w:val="%1、"/>
      <w:lvlJc w:val="left"/>
      <w:pPr>
        <w:ind w:left="551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442FA"/>
    <w:rsid w:val="09D45935"/>
    <w:rsid w:val="0A786C09"/>
    <w:rsid w:val="154E1E06"/>
    <w:rsid w:val="1C536B8E"/>
    <w:rsid w:val="1CD9453B"/>
    <w:rsid w:val="1CF90599"/>
    <w:rsid w:val="247D16ED"/>
    <w:rsid w:val="2B1020EE"/>
    <w:rsid w:val="2C6444FA"/>
    <w:rsid w:val="345D3CA7"/>
    <w:rsid w:val="3B183024"/>
    <w:rsid w:val="3C0161AE"/>
    <w:rsid w:val="425E5C68"/>
    <w:rsid w:val="42A151A4"/>
    <w:rsid w:val="46511AE0"/>
    <w:rsid w:val="48D36AF4"/>
    <w:rsid w:val="50D17AA6"/>
    <w:rsid w:val="688356D2"/>
    <w:rsid w:val="6B5078C4"/>
    <w:rsid w:val="6BF575F8"/>
    <w:rsid w:val="6E967428"/>
    <w:rsid w:val="6FB22158"/>
    <w:rsid w:val="70A165A7"/>
    <w:rsid w:val="78D14237"/>
    <w:rsid w:val="790F2625"/>
    <w:rsid w:val="7B1E74DC"/>
    <w:rsid w:val="7E53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  <w:style w:type="paragraph" w:customStyle="1" w:styleId="5">
    <w:name w:val="cucd-0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6">
    <w:name w:val="正文_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表格正文"/>
    <w:basedOn w:val="1"/>
    <w:qFormat/>
    <w:uiPriority w:val="0"/>
    <w:pPr>
      <w:widowControl w:val="0"/>
      <w:spacing w:after="0" w:line="240" w:lineRule="auto"/>
      <w:jc w:val="both"/>
    </w:pPr>
    <w:rPr>
      <w:rFonts w:ascii="Calibri" w:hAnsi="Calibri" w:eastAsia="仿宋" w:cs="宋体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1029</Words>
  <Characters>1090</Characters>
  <Lines>0</Lines>
  <Paragraphs>0</Paragraphs>
  <TotalTime>6</TotalTime>
  <ScaleCrop>false</ScaleCrop>
  <LinksUpToDate>false</LinksUpToDate>
  <CharactersWithSpaces>1185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2025-02-07T01:33:00Z</dcterms:created>
  <dc:creator>User</dc:creator>
  <cp:lastModifiedBy>很懒不起名</cp:lastModifiedBy>
  <cp:lastPrinted>2025-06-05T01:52:04Z</cp:lastPrinted>
  <dcterms:modified xsi:type="dcterms:W3CDTF">2025-06-05T02:09:45Z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B61BB2E9187B4FE4A682B403DA66FEE5_13</vt:lpwstr>
  </property>
  <property fmtid="{D5CDD505-2E9C-101B-9397-08002B2CF9AE}" pid="4" name="KSOTemplateDocerSaveRecord">
    <vt:lpwstr>eyJoZGlkIjoiZWFkMWQ0MTQyMWVmZWQ4ZWM2MTlkMWQ4NmMxNTA1Y2EiLCJ1c2VySWQiOiIzMzcyMTM0MzkifQ==</vt:lpwstr>
  </property>
</Properties>
</file>