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8C6ED">
      <w:pPr>
        <w:spacing w:line="360" w:lineRule="auto"/>
        <w:jc w:val="center"/>
        <w:rPr>
          <w:rFonts w:eastAsia="宋体" w:cs="宋体"/>
          <w:b/>
          <w:w w:val="80"/>
          <w:kern w:val="44"/>
          <w:sz w:val="36"/>
          <w:szCs w:val="36"/>
        </w:rPr>
      </w:pPr>
      <w:bookmarkStart w:id="0" w:name="_Toc13543213"/>
      <w:r>
        <w:rPr>
          <w:rFonts w:hint="eastAsia" w:eastAsia="宋体" w:cs="宋体"/>
          <w:b/>
          <w:w w:val="80"/>
          <w:kern w:val="44"/>
          <w:sz w:val="36"/>
          <w:szCs w:val="36"/>
        </w:rPr>
        <w:t xml:space="preserve"> 项目需求</w:t>
      </w:r>
    </w:p>
    <w:p w14:paraId="72FD24AE">
      <w:pPr>
        <w:pStyle w:val="10"/>
        <w:snapToGrid w:val="0"/>
        <w:spacing w:line="360" w:lineRule="auto"/>
        <w:ind w:firstLine="482" w:firstLineChars="200"/>
        <w:rPr>
          <w:rFonts w:ascii="宋体" w:eastAsia="宋体" w:cs="宋体"/>
          <w:b/>
          <w:sz w:val="24"/>
          <w:szCs w:val="24"/>
          <w:lang w:val="zh-CN"/>
        </w:rPr>
      </w:pPr>
      <w:bookmarkStart w:id="1" w:name="_Toc182848996"/>
      <w:r>
        <w:rPr>
          <w:rFonts w:hint="eastAsia" w:ascii="宋体" w:eastAsia="宋体" w:cs="宋体"/>
          <w:b/>
          <w:sz w:val="24"/>
          <w:szCs w:val="24"/>
          <w:lang w:val="zh-CN"/>
        </w:rPr>
        <w:t>一、</w:t>
      </w:r>
      <w:r>
        <w:rPr>
          <w:rFonts w:hint="eastAsia" w:ascii="宋体" w:eastAsia="宋体" w:cs="宋体"/>
          <w:b/>
          <w:sz w:val="24"/>
          <w:szCs w:val="24"/>
          <w:lang w:val="en-US" w:eastAsia="zh-CN"/>
        </w:rPr>
        <w:t>项目</w:t>
      </w:r>
      <w:r>
        <w:rPr>
          <w:rFonts w:hint="eastAsia" w:ascii="宋体" w:eastAsia="宋体" w:cs="宋体"/>
          <w:b/>
          <w:sz w:val="24"/>
          <w:szCs w:val="24"/>
          <w:lang w:val="zh-CN"/>
        </w:rPr>
        <w:t>要求说明</w:t>
      </w:r>
    </w:p>
    <w:p w14:paraId="647E2330">
      <w:pPr>
        <w:pStyle w:val="10"/>
        <w:snapToGrid w:val="0"/>
        <w:spacing w:line="360" w:lineRule="auto"/>
        <w:ind w:firstLine="480" w:firstLineChars="200"/>
        <w:rPr>
          <w:rFonts w:ascii="宋体" w:eastAsia="宋体" w:cs="宋体"/>
          <w:bCs/>
          <w:sz w:val="24"/>
          <w:szCs w:val="24"/>
          <w:lang w:val="zh-CN"/>
        </w:rPr>
      </w:pPr>
      <w:r>
        <w:rPr>
          <w:rFonts w:hint="eastAsia" w:ascii="宋体" w:eastAsia="宋体" w:cs="宋体"/>
          <w:bCs/>
          <w:sz w:val="24"/>
          <w:szCs w:val="24"/>
          <w:lang w:val="zh-CN"/>
        </w:rPr>
        <w:t>1、主要技术参数：为鼓励不同品牌的充分竞争，如某主要技术参数属于个别品牌专有，则该主要技术参数不具有限制性，供应商可对该参数进行适当调整，并说明调整的理由。</w:t>
      </w:r>
    </w:p>
    <w:p w14:paraId="3E326DB2">
      <w:pPr>
        <w:pStyle w:val="10"/>
        <w:snapToGrid w:val="0"/>
        <w:spacing w:line="360" w:lineRule="auto"/>
        <w:ind w:firstLine="480" w:firstLineChars="200"/>
        <w:rPr>
          <w:rFonts w:ascii="宋体" w:eastAsia="宋体" w:cs="宋体"/>
          <w:bCs/>
          <w:sz w:val="24"/>
          <w:szCs w:val="24"/>
          <w:lang w:val="zh-CN"/>
        </w:rPr>
      </w:pPr>
      <w:r>
        <w:rPr>
          <w:rFonts w:hint="eastAsia" w:ascii="宋体" w:eastAsia="宋体" w:cs="宋体"/>
          <w:bCs/>
          <w:sz w:val="24"/>
          <w:szCs w:val="24"/>
          <w:lang w:val="zh-CN"/>
        </w:rPr>
        <w:t>2、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798F95F">
      <w:pPr>
        <w:pStyle w:val="10"/>
        <w:snapToGrid w:val="0"/>
        <w:spacing w:line="360" w:lineRule="auto"/>
        <w:ind w:firstLine="480" w:firstLineChars="200"/>
        <w:rPr>
          <w:rFonts w:hint="eastAsia" w:ascii="宋体" w:eastAsia="宋体" w:cs="宋体"/>
          <w:bCs/>
          <w:sz w:val="24"/>
          <w:szCs w:val="24"/>
          <w:lang w:val="zh-CN"/>
        </w:rPr>
      </w:pPr>
      <w:r>
        <w:rPr>
          <w:rFonts w:hint="eastAsia" w:ascii="宋体" w:eastAsia="宋体" w:cs="宋体"/>
          <w:bCs/>
          <w:sz w:val="24"/>
          <w:szCs w:val="24"/>
        </w:rPr>
        <w:t>3</w:t>
      </w:r>
      <w:r>
        <w:rPr>
          <w:rFonts w:hint="eastAsia" w:ascii="宋体" w:eastAsia="宋体" w:cs="宋体"/>
          <w:bCs/>
          <w:sz w:val="24"/>
          <w:szCs w:val="24"/>
          <w:lang w:val="zh-CN"/>
        </w:rPr>
        <w:t>、响应供应商所提供的产品必须是合法的正规之产品。响应供应商应保证采购代理机构和采购人不受到第三方关于侵犯知识产权以及专利权、商标权或批发业设计权等的指控，任何第三方如果提出指控均与采购代理机构、采购人无关，响应供应商应与第三方交涉，承担可能发生的一切法律责任、费用和后果，若采购人因此而遭致损失的，响应供应商应赔偿该损失。</w:t>
      </w:r>
    </w:p>
    <w:p w14:paraId="1E59F26B">
      <w:pPr>
        <w:pStyle w:val="10"/>
        <w:snapToGrid w:val="0"/>
        <w:spacing w:line="360" w:lineRule="auto"/>
        <w:ind w:firstLine="480" w:firstLineChars="200"/>
        <w:rPr>
          <w:rFonts w:hint="eastAsia" w:ascii="宋体" w:eastAsia="宋体" w:cs="宋体"/>
          <w:bCs/>
          <w:sz w:val="24"/>
          <w:szCs w:val="24"/>
          <w:lang w:val="en-US" w:eastAsia="zh-CN"/>
        </w:rPr>
      </w:pPr>
      <w:r>
        <w:rPr>
          <w:rFonts w:hint="eastAsia" w:ascii="宋体" w:eastAsia="宋体" w:cs="宋体"/>
          <w:bCs/>
          <w:sz w:val="24"/>
          <w:szCs w:val="24"/>
          <w:lang w:val="en-US" w:eastAsia="zh-CN"/>
        </w:rPr>
        <w:t>4、医院现有道闸系统建设及使用时间已超过五年，道闸系统已无法正常使用，本次医院重新建设出入口道闸系统，要求新建道闸系统对接纳入现有安防管理平台，</w:t>
      </w:r>
      <w:r>
        <w:rPr>
          <w:rFonts w:hint="eastAsia" w:ascii="宋体" w:eastAsia="宋体" w:cs="宋体"/>
          <w:b/>
          <w:bCs w:val="0"/>
          <w:sz w:val="24"/>
          <w:szCs w:val="24"/>
          <w:lang w:val="en-US" w:eastAsia="zh-CN"/>
        </w:rPr>
        <w:t>实现一体化管理</w:t>
      </w:r>
      <w:r>
        <w:rPr>
          <w:rFonts w:hint="eastAsia" w:ascii="宋体" w:eastAsia="宋体" w:cs="宋体"/>
          <w:bCs/>
          <w:sz w:val="24"/>
          <w:szCs w:val="24"/>
          <w:lang w:val="en-US" w:eastAsia="zh-CN"/>
        </w:rPr>
        <w:t>，同时预留接口协议用于对接智泊南通平台。</w:t>
      </w:r>
    </w:p>
    <w:p w14:paraId="58EAA6D4">
      <w:pPr>
        <w:pStyle w:val="10"/>
        <w:snapToGrid w:val="0"/>
        <w:spacing w:line="360" w:lineRule="auto"/>
        <w:ind w:firstLine="482" w:firstLineChars="200"/>
        <w:rPr>
          <w:rFonts w:ascii="宋体" w:eastAsia="宋体" w:cs="宋体"/>
          <w:b/>
          <w:sz w:val="24"/>
          <w:szCs w:val="24"/>
          <w:lang w:val="zh-CN"/>
        </w:rPr>
      </w:pPr>
      <w:r>
        <w:rPr>
          <w:rFonts w:hint="eastAsia" w:ascii="宋体" w:eastAsia="宋体" w:cs="宋体"/>
          <w:b/>
          <w:sz w:val="24"/>
          <w:szCs w:val="24"/>
          <w:lang w:val="zh-CN"/>
        </w:rPr>
        <w:t>二、采购需求及技术参数</w:t>
      </w:r>
    </w:p>
    <w:tbl>
      <w:tblPr>
        <w:tblStyle w:val="8"/>
        <w:tblpPr w:leftFromText="180" w:rightFromText="180" w:vertAnchor="text" w:horzAnchor="page" w:tblpX="1444" w:tblpY="976"/>
        <w:tblOverlap w:val="never"/>
        <w:tblW w:w="9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4705"/>
        <w:gridCol w:w="791"/>
        <w:gridCol w:w="927"/>
        <w:gridCol w:w="2193"/>
      </w:tblGrid>
      <w:tr w14:paraId="37B8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969696"/>
            <w:noWrap w:val="0"/>
            <w:vAlign w:val="center"/>
          </w:tcPr>
          <w:p w14:paraId="4464C7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序号</w:t>
            </w:r>
          </w:p>
        </w:tc>
        <w:tc>
          <w:tcPr>
            <w:tcW w:w="4705" w:type="dxa"/>
            <w:tcBorders>
              <w:top w:val="single" w:color="000000" w:sz="4" w:space="0"/>
              <w:left w:val="single" w:color="000000" w:sz="4" w:space="0"/>
              <w:bottom w:val="single" w:color="000000" w:sz="4" w:space="0"/>
              <w:right w:val="single" w:color="000000" w:sz="4" w:space="0"/>
            </w:tcBorders>
            <w:shd w:val="clear" w:color="auto" w:fill="969696"/>
            <w:noWrap w:val="0"/>
            <w:vAlign w:val="center"/>
          </w:tcPr>
          <w:p w14:paraId="174801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791" w:type="dxa"/>
            <w:tcBorders>
              <w:top w:val="single" w:color="000000" w:sz="4" w:space="0"/>
              <w:left w:val="single" w:color="000000" w:sz="4" w:space="0"/>
              <w:bottom w:val="single" w:color="000000" w:sz="4" w:space="0"/>
              <w:right w:val="single" w:color="000000" w:sz="4" w:space="0"/>
            </w:tcBorders>
            <w:shd w:val="clear" w:color="auto" w:fill="969696"/>
            <w:noWrap w:val="0"/>
            <w:vAlign w:val="center"/>
          </w:tcPr>
          <w:p w14:paraId="7A6135A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969696"/>
            <w:noWrap w:val="0"/>
            <w:vAlign w:val="center"/>
          </w:tcPr>
          <w:p w14:paraId="6DFEC1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2193" w:type="dxa"/>
            <w:tcBorders>
              <w:top w:val="single" w:color="000000" w:sz="4" w:space="0"/>
              <w:left w:val="single" w:color="000000" w:sz="4" w:space="0"/>
              <w:bottom w:val="single" w:color="000000" w:sz="4" w:space="0"/>
              <w:right w:val="single" w:color="000000" w:sz="4" w:space="0"/>
            </w:tcBorders>
            <w:shd w:val="clear" w:color="auto" w:fill="969696"/>
            <w:noWrap w:val="0"/>
            <w:vAlign w:val="center"/>
          </w:tcPr>
          <w:p w14:paraId="2764F1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w:t>
            </w:r>
          </w:p>
        </w:tc>
      </w:tr>
      <w:tr w14:paraId="1374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9E9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14:paraId="3C2C7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400万变焦LED抓拍显示一体机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CDBB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595A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77288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5000</w:t>
            </w:r>
          </w:p>
        </w:tc>
      </w:tr>
      <w:tr w14:paraId="7305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C29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14:paraId="05701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直臂伸缩杆道闸</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7E4E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E835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2452B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5500</w:t>
            </w:r>
          </w:p>
        </w:tc>
      </w:tr>
      <w:tr w14:paraId="72B4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661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14:paraId="49190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变频道闸配杆（伸缩杆，不分左右4-5米）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2694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7F92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65555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700</w:t>
            </w:r>
          </w:p>
        </w:tc>
      </w:tr>
      <w:tr w14:paraId="0252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015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14:paraId="03A40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防砸雷达</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53E1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0BEB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5F8E9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1000</w:t>
            </w:r>
          </w:p>
        </w:tc>
      </w:tr>
      <w:tr w14:paraId="548E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0BC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14:paraId="471FF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停车管理模块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C3F3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79C3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369B4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7200</w:t>
            </w:r>
          </w:p>
        </w:tc>
      </w:tr>
      <w:tr w14:paraId="0B68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7F8C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14:paraId="419BC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停车管理电子支付</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B94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7EF6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35AA8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6600</w:t>
            </w:r>
          </w:p>
        </w:tc>
      </w:tr>
      <w:tr w14:paraId="6E6F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9A1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14:paraId="02E36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道闸设备管理主机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2BA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7DE2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54548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4500</w:t>
            </w:r>
          </w:p>
        </w:tc>
      </w:tr>
      <w:tr w14:paraId="3A3F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ACA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14:paraId="71A7B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辅材</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97E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4BEE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65EA5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2400</w:t>
            </w:r>
          </w:p>
        </w:tc>
      </w:tr>
      <w:tr w14:paraId="641D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6D4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14:paraId="00C85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安装调试</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D1F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AEFE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6D4DB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5000</w:t>
            </w:r>
          </w:p>
        </w:tc>
      </w:tr>
    </w:tbl>
    <w:p w14:paraId="69F2301E">
      <w:pPr>
        <w:pStyle w:val="10"/>
        <w:snapToGrid w:val="0"/>
        <w:spacing w:line="360" w:lineRule="auto"/>
        <w:ind w:firstLine="482" w:firstLineChars="200"/>
        <w:rPr>
          <w:rFonts w:ascii="宋体" w:eastAsia="宋体" w:cs="宋体"/>
          <w:b/>
          <w:sz w:val="24"/>
          <w:szCs w:val="24"/>
          <w:lang w:val="zh-CN"/>
        </w:rPr>
      </w:pPr>
      <w:r>
        <w:rPr>
          <w:rFonts w:hint="eastAsia" w:ascii="宋体" w:eastAsia="宋体" w:cs="宋体"/>
          <w:b/>
          <w:sz w:val="24"/>
          <w:szCs w:val="24"/>
          <w:lang w:val="zh-CN"/>
        </w:rPr>
        <w:t>（一）</w:t>
      </w:r>
      <w:r>
        <w:rPr>
          <w:rFonts w:hint="eastAsia" w:ascii="宋体" w:eastAsia="宋体" w:cs="宋体"/>
          <w:b/>
          <w:sz w:val="24"/>
          <w:szCs w:val="24"/>
        </w:rPr>
        <w:t>总体</w:t>
      </w:r>
      <w:r>
        <w:rPr>
          <w:rFonts w:hint="eastAsia" w:ascii="宋体" w:eastAsia="宋体" w:cs="宋体"/>
          <w:b/>
          <w:sz w:val="24"/>
          <w:szCs w:val="24"/>
          <w:lang w:val="zh-CN"/>
        </w:rPr>
        <w:t>需求清单</w:t>
      </w:r>
    </w:p>
    <w:p w14:paraId="766B6023">
      <w:pPr>
        <w:pStyle w:val="10"/>
        <w:numPr>
          <w:numId w:val="0"/>
        </w:numPr>
        <w:snapToGrid w:val="0"/>
        <w:spacing w:line="360" w:lineRule="auto"/>
        <w:rPr>
          <w:rFonts w:hint="eastAsia" w:ascii="宋体" w:eastAsia="宋体" w:cs="宋体"/>
          <w:b/>
          <w:sz w:val="24"/>
          <w:szCs w:val="24"/>
          <w:lang w:val="zh-CN"/>
        </w:rPr>
        <w:sectPr>
          <w:headerReference r:id="rId3" w:type="default"/>
          <w:pgSz w:w="11906" w:h="16838"/>
          <w:pgMar w:top="1440" w:right="1800" w:bottom="1440" w:left="1800" w:header="851" w:footer="992" w:gutter="0"/>
          <w:cols w:space="425" w:num="1"/>
          <w:docGrid w:type="lines" w:linePitch="312" w:charSpace="0"/>
        </w:sectPr>
      </w:pPr>
    </w:p>
    <w:p w14:paraId="11029CC7">
      <w:pPr>
        <w:pStyle w:val="10"/>
        <w:numPr>
          <w:ilvl w:val="0"/>
          <w:numId w:val="1"/>
        </w:numPr>
        <w:snapToGrid w:val="0"/>
        <w:spacing w:line="360" w:lineRule="auto"/>
        <w:ind w:firstLine="482" w:firstLineChars="200"/>
        <w:rPr>
          <w:rFonts w:hint="eastAsia" w:ascii="宋体" w:eastAsia="宋体" w:cs="宋体"/>
          <w:b/>
          <w:sz w:val="24"/>
          <w:szCs w:val="24"/>
          <w:lang w:val="zh-CN"/>
        </w:rPr>
      </w:pPr>
      <w:r>
        <w:rPr>
          <w:rFonts w:hint="eastAsia" w:ascii="宋体" w:eastAsia="宋体" w:cs="宋体"/>
          <w:b/>
          <w:sz w:val="24"/>
          <w:szCs w:val="24"/>
        </w:rPr>
        <w:t>产品</w:t>
      </w:r>
      <w:r>
        <w:rPr>
          <w:rFonts w:hint="eastAsia" w:ascii="宋体" w:eastAsia="宋体" w:cs="宋体"/>
          <w:b/>
          <w:sz w:val="24"/>
          <w:szCs w:val="24"/>
          <w:lang w:val="zh-CN"/>
        </w:rPr>
        <w:t>技术参数</w:t>
      </w:r>
    </w:p>
    <w:tbl>
      <w:tblPr>
        <w:tblStyle w:val="8"/>
        <w:tblW w:w="10080" w:type="dxa"/>
        <w:tblInd w:w="-7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5"/>
        <w:gridCol w:w="2232"/>
        <w:gridCol w:w="6723"/>
      </w:tblGrid>
      <w:tr w14:paraId="3533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69696"/>
            <w:noWrap w:val="0"/>
            <w:vAlign w:val="center"/>
          </w:tcPr>
          <w:p w14:paraId="2C1D01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232" w:type="dxa"/>
            <w:tcBorders>
              <w:top w:val="single" w:color="000000" w:sz="4" w:space="0"/>
              <w:left w:val="single" w:color="000000" w:sz="4" w:space="0"/>
              <w:bottom w:val="single" w:color="000000" w:sz="4" w:space="0"/>
              <w:right w:val="single" w:color="000000" w:sz="4" w:space="0"/>
            </w:tcBorders>
            <w:shd w:val="clear" w:color="auto" w:fill="969696"/>
            <w:noWrap w:val="0"/>
            <w:vAlign w:val="center"/>
          </w:tcPr>
          <w:p w14:paraId="77627C5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产品名称</w:t>
            </w:r>
          </w:p>
        </w:tc>
        <w:tc>
          <w:tcPr>
            <w:tcW w:w="6723" w:type="dxa"/>
            <w:tcBorders>
              <w:top w:val="single" w:color="000000" w:sz="4" w:space="0"/>
              <w:left w:val="single" w:color="000000" w:sz="4" w:space="0"/>
              <w:bottom w:val="single" w:color="000000" w:sz="4" w:space="0"/>
              <w:right w:val="single" w:color="000000" w:sz="4" w:space="0"/>
            </w:tcBorders>
            <w:shd w:val="clear" w:color="auto" w:fill="969696"/>
            <w:noWrap w:val="0"/>
            <w:vAlign w:val="center"/>
          </w:tcPr>
          <w:p w14:paraId="4388B3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产品描述</w:t>
            </w:r>
          </w:p>
        </w:tc>
      </w:tr>
      <w:tr w14:paraId="4055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71CF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3624F7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400万变焦LED抓拍显示一体机</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25F7EF2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1、显示屏尺寸：256mm×256mm（长×宽）；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2、采用1/3英寸CMOS图像传感器，加载新一代图像处理算法，兼顾车牌及车身环境效果，同时提升图像整体质量；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3、图像分辨率：2688×1520（不包含OSD黑边）；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4、抓拍距离：2.5～6m；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5、采用智能除雾技术，有效杜绝玻璃结冰、起雾现象，满足全天候使用；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6、支持全天候车辆信息全结构化深度提取，车辆捕获率和车牌识别率都达到99.9%以上；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7、支持通过RS485接入道闸、雷达等外设，实时获取设备工作状态，实现远程运维管控；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8、支持语音播报功能，用户可自由配置播报内容；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▲9、最低照度试验：黑白：≤0.0001 lx(AGC ON，黑白模式)，能基本分辨被摄目标的轮廓特征，彩色：≤0.0002 lx(AGC ON，彩色模式)，能基本分辨被摄目标的轮廓特征和色彩；（提供公安部有效检测报告复印件加盖原厂公章或投标专用章）；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▲10、倾斜车牌识别功能检查：支持水平不大于65°、倾斜不大于30°倾斜车牌识别。（提供公安部有效检测报告复印件加盖原厂公章或投标专用章）；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▲11、报警事件检查：支持黑名单车辆、车辆滞留、倒车驶离等报警事件，支持网络断开报警。（提供公安部有效检测报告复印件加盖原厂公章或投标专用章）；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▲12、挡车器开启时间检查：车辆身份信息确认放行，到挡车器开启的响应时间≤2s。（提供公安部有效检测报告复印件加盖原厂公章或投标专用章）；</w:t>
            </w:r>
          </w:p>
        </w:tc>
      </w:tr>
      <w:tr w14:paraId="1821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D24E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5451A1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直臂伸缩杆道闸</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28B9E86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1.采用24V直流无刷电机，低功耗、效率高、运行稳定、安全且噪声小；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2.道闸起落杆速度可调；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3.道闸开关限位位置可调（20°范围内）；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4.可通过485接口连接相机，通过相机web端可读取道闸状态包括运行次数和运行状态。并且可以读取道闸运行日志；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5.支持外接雷达、线圈、红外防砸功能，内置 DC12V输出，可用于外接雷达供电；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6.标配遇阻反弹功能，当杆子下落过程中受阻时会自动反弹；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7.断电抬杆，断电之后可以自动抬杆，避免砸车或者影响车辆进入；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8.一键车队模式（常开模式）；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9.防护等级：IP54；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▲10.外壳防护等级试验：IP54（提供公安部有效检测报告复印件加盖原厂公章或投标专用章）；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▲11.稳定性试验：道闸在正常条件下，连续工作168h，不应出现电气、机械或软件的故障。（提供公安部有效检测报告复印件加盖原厂公章或投标专用章）；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▲12.手动控制功能检查：应有自锁手动解除装置，停电时能解脱自锁，实现手动控制功能；（提供公安部有效检测报告复印件加盖原厂公章或投标专用章）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▲13.一键锁定功能检查：支持控制按钮对栏机开、关、停功能锁定。（提供公安部有效检测报告复印件加盖原厂公章或投标专用章）</w:t>
            </w:r>
          </w:p>
        </w:tc>
      </w:tr>
      <w:tr w14:paraId="0C56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E800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27DD9D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变频道闸配杆（伸缩杆，不分左右4-5米）</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705527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1、颜色：红白；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2、外壳材料：金属(铝)；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3、伸缩杆件，杆长4-5米，左右向通用，杆子采用铝材质，表面采用静电喷涂工艺防锈，杆子底部带弹性防砸胶条；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4、产品尺寸：4000.0mm×100.0mm×45.0mm（长×宽×高）；</w:t>
            </w:r>
          </w:p>
        </w:tc>
      </w:tr>
      <w:tr w14:paraId="0694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C61F9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2AEE57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防砸雷达</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7C0F7A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1、发射频率：77GHz～81GHz；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2、检测区域：0.3m～6m（可调）；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3、防砸区域：0～2m（可调）；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4、检测目标：人、车；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5、支持虚警点检测及剔除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6、在线调试：支持（串口、APP通过wifi进行调试）；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7、升级功能：支持（串口、APP通过wifi在线升级）；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8、支持通过485连接相机读取雷达设置参数及雷达日志记录；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9、支持在线升级程序；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10、工作电压：DC9–12V；</w:t>
            </w:r>
          </w:p>
        </w:tc>
      </w:tr>
      <w:tr w14:paraId="7C7E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08A16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4F30A3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停车管理模块</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2606AA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★1、停车管理模块能够无缝对接医院现有安防管理平台，实现一体化管理。（提供厂家无缝对接承诺函，并加盖原厂公章）；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2、支持室内停车诱导、泊位统计、余位统计、车流量统计；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3、支持收款统计、缴费统计、月卡/储值/长期用户总览统计；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4、收费灵活，支持按次、按日、按时长、按时段、按组合的收费，包括节假日或者周末的不同收费方式；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5、支持无人值守，支持月卡/储值充值缴费；</w:t>
            </w:r>
          </w:p>
        </w:tc>
      </w:tr>
      <w:tr w14:paraId="7692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3B78E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69A24D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停车管理电子支付</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291610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1、停车系统云端电子支付服务，服务周期三年；</w:t>
            </w:r>
          </w:p>
        </w:tc>
      </w:tr>
      <w:tr w14:paraId="2239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78CE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768278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道闸设备管理主机</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283F41B5">
            <w:pPr>
              <w:keepNext w:val="0"/>
              <w:keepLines w:val="0"/>
              <w:pageBreakBefore w:val="0"/>
              <w:widowControl/>
              <w:numPr>
                <w:ilvl w:val="0"/>
                <w:numId w:val="2"/>
              </w:numPr>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CPU≥I5-12400；</w:t>
            </w:r>
          </w:p>
          <w:p w14:paraId="11015045">
            <w:pPr>
              <w:keepNext w:val="0"/>
              <w:keepLines w:val="0"/>
              <w:pageBreakBefore w:val="0"/>
              <w:widowControl/>
              <w:numPr>
                <w:ilvl w:val="0"/>
                <w:numId w:val="2"/>
              </w:numPr>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bookmarkStart w:id="2" w:name="_GoBack"/>
            <w:bookmarkEnd w:id="2"/>
            <w:r>
              <w:rPr>
                <w:rFonts w:hint="eastAsia" w:asciiTheme="minorEastAsia" w:hAnsiTheme="minorEastAsia" w:eastAsiaTheme="minorEastAsia" w:cstheme="minorEastAsia"/>
                <w:i w:val="0"/>
                <w:iCs w:val="0"/>
                <w:color w:val="000000"/>
                <w:kern w:val="0"/>
                <w:sz w:val="24"/>
                <w:szCs w:val="24"/>
                <w:u w:val="none"/>
                <w:lang w:val="en-US" w:eastAsia="zh-CN" w:bidi="ar"/>
              </w:rPr>
              <w:t>内存≥16G；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3、硬盘≥SSD512G；</w:t>
            </w:r>
          </w:p>
          <w:p w14:paraId="5F2FDA56">
            <w:pPr>
              <w:keepNext w:val="0"/>
              <w:keepLines w:val="0"/>
              <w:pageBreakBefore w:val="0"/>
              <w:widowControl/>
              <w:numPr>
                <w:numId w:val="0"/>
              </w:numPr>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4、操作系统：WIN11；</w:t>
            </w:r>
          </w:p>
          <w:p w14:paraId="1A106B47">
            <w:pPr>
              <w:keepNext w:val="0"/>
              <w:keepLines w:val="0"/>
              <w:pageBreakBefore w:val="0"/>
              <w:widowControl/>
              <w:numPr>
                <w:numId w:val="0"/>
              </w:numPr>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5、屏幕尺寸≥23.8寸；</w:t>
            </w:r>
          </w:p>
        </w:tc>
      </w:tr>
      <w:tr w14:paraId="5A99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4CC8E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184736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辅材</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000FCDC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线材、管材、传输设备等</w:t>
            </w:r>
          </w:p>
        </w:tc>
      </w:tr>
      <w:tr w14:paraId="7960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E5F2E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1CE3C6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安装调试</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4320BBD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4"/>
                <w:szCs w:val="24"/>
                <w:u w:val="none"/>
              </w:rPr>
            </w:pPr>
          </w:p>
        </w:tc>
      </w:tr>
      <w:tr w14:paraId="6D70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080" w:type="dxa"/>
            <w:gridSpan w:val="3"/>
            <w:tcBorders>
              <w:top w:val="single" w:color="000000" w:sz="4" w:space="0"/>
              <w:left w:val="single" w:color="000000" w:sz="4" w:space="0"/>
              <w:bottom w:val="single" w:color="000000" w:sz="4" w:space="0"/>
              <w:right w:val="single" w:color="000000" w:sz="4" w:space="0"/>
            </w:tcBorders>
            <w:noWrap w:val="0"/>
            <w:vAlign w:val="center"/>
          </w:tcPr>
          <w:p w14:paraId="306A9703">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r>
              <w:rPr>
                <w:rFonts w:hint="eastAsia" w:ascii="宋体" w:hAnsi="宋体" w:eastAsia="宋体" w:cs="宋体"/>
                <w:b/>
                <w:bCs/>
                <w:kern w:val="0"/>
                <w:sz w:val="22"/>
                <w:lang w:bidi="ar"/>
              </w:rPr>
              <w:t>注：考虑到系统兼容性，直臂道闸与抓拍显示一体机必须为同一品牌，否则作无效响应处理。</w:t>
            </w:r>
          </w:p>
        </w:tc>
      </w:tr>
    </w:tbl>
    <w:p w14:paraId="19EA8A61">
      <w:pPr>
        <w:pStyle w:val="10"/>
        <w:snapToGrid w:val="0"/>
        <w:spacing w:line="360" w:lineRule="auto"/>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注：投标人需对“二、</w:t>
      </w:r>
      <w:r>
        <w:rPr>
          <w:rFonts w:hint="eastAsia" w:ascii="Times New Roman" w:hAnsi="Times New Roman" w:eastAsia="宋体" w:cs="Times New Roman"/>
          <w:color w:val="FF0000"/>
          <w:kern w:val="2"/>
          <w:sz w:val="24"/>
          <w:szCs w:val="24"/>
          <w:lang w:val="zh-CN" w:eastAsia="zh-CN" w:bidi="ar-SA"/>
        </w:rPr>
        <w:t>采购需求及技术参数</w:t>
      </w:r>
      <w:r>
        <w:rPr>
          <w:rFonts w:hint="eastAsia" w:ascii="Times New Roman" w:hAnsi="Times New Roman" w:eastAsia="宋体" w:cs="Times New Roman"/>
          <w:color w:val="FF0000"/>
          <w:kern w:val="2"/>
          <w:sz w:val="24"/>
          <w:szCs w:val="24"/>
          <w:lang w:val="en-US" w:eastAsia="zh-CN" w:bidi="ar-SA"/>
        </w:rPr>
        <w:t>”逐条进行响应。</w:t>
      </w:r>
    </w:p>
    <w:p w14:paraId="5559D1EC">
      <w:pPr>
        <w:spacing w:line="360" w:lineRule="auto"/>
        <w:ind w:firstLine="482" w:firstLineChars="200"/>
        <w:rPr>
          <w:rFonts w:eastAsia="宋体"/>
          <w:b/>
          <w:sz w:val="24"/>
          <w:szCs w:val="24"/>
          <w:lang w:val="zh-CN"/>
        </w:rPr>
      </w:pPr>
      <w:r>
        <w:rPr>
          <w:rFonts w:hint="eastAsia" w:eastAsia="宋体"/>
          <w:b/>
          <w:sz w:val="24"/>
          <w:szCs w:val="24"/>
        </w:rPr>
        <w:t>三</w:t>
      </w:r>
      <w:r>
        <w:rPr>
          <w:rFonts w:hint="eastAsia" w:eastAsia="宋体"/>
          <w:b/>
          <w:sz w:val="24"/>
          <w:szCs w:val="24"/>
          <w:lang w:val="zh-CN"/>
        </w:rPr>
        <w:t>、</w:t>
      </w:r>
      <w:r>
        <w:rPr>
          <w:rFonts w:hint="eastAsia" w:eastAsia="宋体"/>
          <w:b/>
          <w:sz w:val="24"/>
          <w:szCs w:val="24"/>
        </w:rPr>
        <w:t>商务和服务</w:t>
      </w:r>
      <w:r>
        <w:rPr>
          <w:rFonts w:hint="eastAsia" w:eastAsia="宋体"/>
          <w:b/>
          <w:sz w:val="24"/>
          <w:szCs w:val="24"/>
          <w:lang w:val="zh-CN"/>
        </w:rPr>
        <w:t>要求</w:t>
      </w:r>
    </w:p>
    <w:p w14:paraId="1DF5E6E4">
      <w:pPr>
        <w:spacing w:line="360" w:lineRule="auto"/>
        <w:ind w:firstLine="482" w:firstLineChars="200"/>
        <w:rPr>
          <w:rFonts w:ascii="宋体" w:hAnsi="宋体" w:eastAsia="宋体" w:cs="宋体"/>
          <w:b/>
          <w:color w:val="000000"/>
          <w:kern w:val="0"/>
          <w:sz w:val="24"/>
          <w:szCs w:val="24"/>
          <w:lang w:val="zh-CN"/>
        </w:rPr>
      </w:pPr>
      <w:r>
        <w:rPr>
          <w:rFonts w:hint="eastAsia" w:ascii="宋体" w:hAnsi="宋体" w:eastAsia="宋体" w:cs="宋体"/>
          <w:b/>
          <w:color w:val="000000"/>
          <w:kern w:val="0"/>
          <w:sz w:val="24"/>
          <w:szCs w:val="24"/>
        </w:rPr>
        <w:t>1、</w:t>
      </w:r>
      <w:r>
        <w:rPr>
          <w:rFonts w:hint="eastAsia" w:ascii="宋体" w:hAnsi="宋体" w:eastAsia="宋体" w:cs="宋体"/>
          <w:b/>
          <w:color w:val="000000"/>
          <w:kern w:val="0"/>
          <w:sz w:val="24"/>
          <w:szCs w:val="24"/>
          <w:lang w:val="zh-CN"/>
        </w:rPr>
        <w:t>技术培训</w:t>
      </w:r>
    </w:p>
    <w:p w14:paraId="425094B4">
      <w:pPr>
        <w:spacing w:line="360" w:lineRule="auto"/>
        <w:ind w:firstLine="480" w:firstLineChars="200"/>
        <w:rPr>
          <w:rFonts w:eastAsia="宋体"/>
          <w:sz w:val="24"/>
          <w:szCs w:val="24"/>
          <w:lang w:val="zh-CN"/>
        </w:rPr>
      </w:pPr>
      <w:r>
        <w:rPr>
          <w:rFonts w:hint="eastAsia" w:eastAsia="宋体"/>
          <w:sz w:val="24"/>
          <w:szCs w:val="24"/>
          <w:lang w:val="zh-CN"/>
        </w:rPr>
        <w:t>（</w:t>
      </w:r>
      <w:r>
        <w:rPr>
          <w:rFonts w:hint="eastAsia" w:eastAsia="宋体"/>
          <w:sz w:val="24"/>
          <w:szCs w:val="24"/>
        </w:rPr>
        <w:t>1</w:t>
      </w:r>
      <w:r>
        <w:rPr>
          <w:rFonts w:hint="eastAsia" w:eastAsia="宋体"/>
          <w:sz w:val="24"/>
          <w:szCs w:val="24"/>
          <w:lang w:val="zh-CN"/>
        </w:rPr>
        <w:t>）响应供应商应对采购单位的技术人员和操作维修人员进行现场培训，并提出详细培训计划，此费用包含在响应报价中，采购单位不另行支付。</w:t>
      </w:r>
    </w:p>
    <w:p w14:paraId="37EC6944">
      <w:pPr>
        <w:spacing w:line="360" w:lineRule="auto"/>
        <w:ind w:firstLine="480" w:firstLineChars="200"/>
        <w:rPr>
          <w:rFonts w:eastAsia="宋体"/>
          <w:sz w:val="24"/>
          <w:szCs w:val="24"/>
          <w:lang w:val="zh-CN"/>
        </w:rPr>
      </w:pPr>
      <w:r>
        <w:rPr>
          <w:rFonts w:hint="eastAsia" w:eastAsia="宋体"/>
          <w:sz w:val="24"/>
          <w:szCs w:val="24"/>
          <w:lang w:val="zh-CN"/>
        </w:rPr>
        <w:t>（</w:t>
      </w:r>
      <w:r>
        <w:rPr>
          <w:rFonts w:hint="eastAsia" w:eastAsia="宋体"/>
          <w:sz w:val="24"/>
          <w:szCs w:val="24"/>
        </w:rPr>
        <w:t>2</w:t>
      </w:r>
      <w:r>
        <w:rPr>
          <w:rFonts w:hint="eastAsia" w:eastAsia="宋体"/>
          <w:sz w:val="24"/>
          <w:szCs w:val="24"/>
          <w:lang w:val="zh-CN"/>
        </w:rPr>
        <w:t>）现场培训：响应供应商应在设备安装完毕后进行现场培训。响应供应商应安排工程师进行指导和演示，并对技术人员进行实际操作培训。</w:t>
      </w:r>
    </w:p>
    <w:p w14:paraId="672D4052">
      <w:pPr>
        <w:spacing w:line="360" w:lineRule="auto"/>
        <w:ind w:firstLine="482" w:firstLineChars="200"/>
        <w:rPr>
          <w:rFonts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2、售后服务</w:t>
      </w:r>
    </w:p>
    <w:p w14:paraId="49942635">
      <w:pPr>
        <w:spacing w:line="360" w:lineRule="auto"/>
        <w:ind w:firstLine="480" w:firstLineChars="200"/>
        <w:rPr>
          <w:rFonts w:eastAsia="宋体"/>
          <w:sz w:val="24"/>
          <w:szCs w:val="24"/>
          <w:lang w:val="zh-CN"/>
        </w:rPr>
      </w:pPr>
      <w:r>
        <w:rPr>
          <w:rFonts w:hint="eastAsia" w:eastAsia="宋体"/>
          <w:sz w:val="24"/>
          <w:szCs w:val="24"/>
        </w:rPr>
        <w:t>（1）</w:t>
      </w:r>
      <w:r>
        <w:rPr>
          <w:rFonts w:hint="eastAsia" w:eastAsia="宋体"/>
          <w:sz w:val="24"/>
          <w:szCs w:val="24"/>
          <w:lang w:val="zh-CN"/>
        </w:rPr>
        <w:t>供应商提供</w:t>
      </w:r>
      <w:r>
        <w:rPr>
          <w:rFonts w:hint="eastAsia" w:eastAsia="宋体"/>
          <w:sz w:val="24"/>
          <w:szCs w:val="24"/>
          <w:lang w:val="en-US" w:eastAsia="zh-CN"/>
        </w:rPr>
        <w:t>不低于</w:t>
      </w:r>
      <w:r>
        <w:rPr>
          <w:rFonts w:hint="eastAsia" w:eastAsia="宋体"/>
          <w:b/>
          <w:bCs/>
          <w:sz w:val="24"/>
          <w:szCs w:val="24"/>
        </w:rPr>
        <w:t>3</w:t>
      </w:r>
      <w:r>
        <w:rPr>
          <w:rFonts w:hint="eastAsia" w:eastAsia="宋体"/>
          <w:b/>
          <w:bCs/>
          <w:sz w:val="24"/>
          <w:szCs w:val="24"/>
          <w:lang w:val="zh-CN"/>
        </w:rPr>
        <w:t>年</w:t>
      </w:r>
      <w:r>
        <w:rPr>
          <w:rFonts w:hint="eastAsia" w:eastAsia="宋体"/>
          <w:sz w:val="24"/>
          <w:szCs w:val="24"/>
          <w:lang w:val="zh-CN"/>
        </w:rPr>
        <w:t>的质保期（</w:t>
      </w:r>
      <w:r>
        <w:rPr>
          <w:rFonts w:hint="eastAsia" w:eastAsia="宋体"/>
          <w:sz w:val="24"/>
          <w:szCs w:val="24"/>
          <w:lang w:val="en-US" w:eastAsia="zh-CN"/>
        </w:rPr>
        <w:t>包含日常</w:t>
      </w:r>
      <w:r>
        <w:rPr>
          <w:rFonts w:hint="eastAsia" w:eastAsia="宋体"/>
          <w:sz w:val="24"/>
          <w:szCs w:val="24"/>
          <w:lang w:val="zh-CN"/>
        </w:rPr>
        <w:t>维修及保养），时间从项目验收通过、采购单位接受并签字认可之日算起。在质保期内，除不可抗力和采购单位人为的原因外，供应商应无偿承担故障维修，更换零配件的义务，确系质量原因无法正常工作时，供应商应无偿更换全新合格产品。</w:t>
      </w:r>
    </w:p>
    <w:p w14:paraId="1293540A">
      <w:pPr>
        <w:spacing w:line="360" w:lineRule="auto"/>
        <w:ind w:firstLine="480" w:firstLineChars="200"/>
        <w:rPr>
          <w:rFonts w:eastAsia="宋体"/>
          <w:sz w:val="24"/>
          <w:szCs w:val="24"/>
        </w:rPr>
      </w:pPr>
      <w:r>
        <w:rPr>
          <w:rFonts w:hint="eastAsia" w:eastAsia="宋体"/>
          <w:sz w:val="24"/>
          <w:szCs w:val="24"/>
        </w:rPr>
        <w:t>（2）本次项目的硬件及软件在质保期内需提供厂家原厂质保。</w:t>
      </w:r>
      <w:r>
        <w:rPr>
          <w:rFonts w:hint="eastAsia" w:eastAsia="宋体"/>
          <w:color w:val="FF0000"/>
          <w:sz w:val="24"/>
          <w:szCs w:val="24"/>
        </w:rPr>
        <w:t>签订合同前须提供项目</w:t>
      </w:r>
      <w:r>
        <w:rPr>
          <w:rFonts w:hint="eastAsia" w:ascii="宋体" w:hAnsi="宋体" w:eastAsia="宋体" w:cs="宋体"/>
          <w:color w:val="FF0000"/>
          <w:kern w:val="0"/>
          <w:sz w:val="24"/>
          <w:szCs w:val="24"/>
          <w:lang w:bidi="ar"/>
        </w:rPr>
        <w:t>抓拍显示一体机、道闸</w:t>
      </w:r>
      <w:r>
        <w:rPr>
          <w:rFonts w:hint="eastAsia" w:eastAsia="宋体"/>
          <w:color w:val="FF0000"/>
          <w:sz w:val="24"/>
          <w:szCs w:val="24"/>
        </w:rPr>
        <w:t>等产品原厂商针对本项目出具的质保承诺函原件，否则取消成交资格。</w:t>
      </w:r>
    </w:p>
    <w:p w14:paraId="35571A63">
      <w:pPr>
        <w:spacing w:line="360" w:lineRule="auto"/>
        <w:ind w:firstLine="480" w:firstLineChars="200"/>
        <w:rPr>
          <w:rFonts w:eastAsia="宋体"/>
          <w:sz w:val="24"/>
          <w:szCs w:val="24"/>
        </w:rPr>
      </w:pPr>
      <w:r>
        <w:rPr>
          <w:rFonts w:hint="eastAsia" w:eastAsia="宋体"/>
          <w:sz w:val="24"/>
          <w:szCs w:val="24"/>
          <w:lang w:val="zh-CN"/>
        </w:rPr>
        <w:t>（</w:t>
      </w:r>
      <w:r>
        <w:rPr>
          <w:rFonts w:hint="eastAsia" w:eastAsia="宋体"/>
          <w:sz w:val="24"/>
          <w:szCs w:val="24"/>
        </w:rPr>
        <w:t>3</w:t>
      </w:r>
      <w:r>
        <w:rPr>
          <w:rFonts w:hint="eastAsia" w:eastAsia="宋体"/>
          <w:sz w:val="24"/>
          <w:szCs w:val="24"/>
          <w:lang w:val="zh-CN"/>
        </w:rPr>
        <w:t>）响应供应商</w:t>
      </w:r>
      <w:r>
        <w:rPr>
          <w:rFonts w:eastAsia="宋体"/>
          <w:sz w:val="24"/>
          <w:szCs w:val="24"/>
        </w:rPr>
        <w:t>须确保</w:t>
      </w:r>
      <w:r>
        <w:rPr>
          <w:rFonts w:hint="eastAsia" w:eastAsia="宋体"/>
          <w:sz w:val="24"/>
          <w:szCs w:val="24"/>
        </w:rPr>
        <w:t>项目</w:t>
      </w:r>
      <w:r>
        <w:rPr>
          <w:rFonts w:eastAsia="宋体"/>
          <w:sz w:val="24"/>
          <w:szCs w:val="24"/>
        </w:rPr>
        <w:t>质量达到优良标准，</w:t>
      </w:r>
      <w:r>
        <w:rPr>
          <w:rFonts w:hint="eastAsia" w:eastAsia="宋体"/>
          <w:sz w:val="24"/>
          <w:szCs w:val="24"/>
        </w:rPr>
        <w:t>项目</w:t>
      </w:r>
      <w:r>
        <w:rPr>
          <w:rFonts w:eastAsia="宋体"/>
          <w:sz w:val="24"/>
          <w:szCs w:val="24"/>
        </w:rPr>
        <w:t>工期按采购人的要求时间完成，对所承担的项目出具技术质量证书。</w:t>
      </w:r>
    </w:p>
    <w:p w14:paraId="7B408830">
      <w:pPr>
        <w:spacing w:line="360" w:lineRule="auto"/>
        <w:ind w:firstLine="480" w:firstLineChars="200"/>
        <w:rPr>
          <w:rFonts w:eastAsia="宋体"/>
          <w:sz w:val="24"/>
          <w:szCs w:val="24"/>
        </w:rPr>
      </w:pPr>
      <w:r>
        <w:rPr>
          <w:rFonts w:hint="eastAsia" w:eastAsia="宋体"/>
          <w:sz w:val="24"/>
          <w:szCs w:val="24"/>
          <w:lang w:val="zh-CN"/>
        </w:rPr>
        <w:t>（</w:t>
      </w:r>
      <w:r>
        <w:rPr>
          <w:rFonts w:hint="eastAsia" w:eastAsia="宋体"/>
          <w:sz w:val="24"/>
          <w:szCs w:val="24"/>
        </w:rPr>
        <w:t>4</w:t>
      </w:r>
      <w:r>
        <w:rPr>
          <w:rFonts w:hint="eastAsia" w:eastAsia="宋体"/>
          <w:sz w:val="24"/>
          <w:szCs w:val="24"/>
          <w:lang w:val="zh-CN"/>
        </w:rPr>
        <w:t>）响应供应商</w:t>
      </w:r>
      <w:r>
        <w:rPr>
          <w:rFonts w:eastAsia="宋体"/>
          <w:sz w:val="24"/>
          <w:szCs w:val="24"/>
        </w:rPr>
        <w:t>须确保工作人员均受过严格培训，具有丰富施工经验的</w:t>
      </w:r>
      <w:r>
        <w:rPr>
          <w:rFonts w:hint="eastAsia" w:eastAsia="宋体"/>
          <w:sz w:val="24"/>
          <w:szCs w:val="24"/>
        </w:rPr>
        <w:t>项目</w:t>
      </w:r>
      <w:r>
        <w:rPr>
          <w:rFonts w:eastAsia="宋体"/>
          <w:sz w:val="24"/>
          <w:szCs w:val="24"/>
        </w:rPr>
        <w:t>技术人员，严格按照标准和规范进行施工。</w:t>
      </w:r>
    </w:p>
    <w:p w14:paraId="5FE3167B">
      <w:pPr>
        <w:spacing w:line="360" w:lineRule="auto"/>
        <w:ind w:firstLine="480" w:firstLineChars="200"/>
        <w:rPr>
          <w:rFonts w:eastAsia="宋体"/>
          <w:sz w:val="24"/>
          <w:szCs w:val="24"/>
        </w:rPr>
      </w:pPr>
      <w:r>
        <w:rPr>
          <w:rFonts w:hint="eastAsia" w:eastAsia="宋体"/>
          <w:sz w:val="24"/>
          <w:szCs w:val="24"/>
          <w:lang w:val="zh-CN"/>
        </w:rPr>
        <w:t>（</w:t>
      </w:r>
      <w:r>
        <w:rPr>
          <w:rFonts w:hint="eastAsia" w:eastAsia="宋体"/>
          <w:sz w:val="24"/>
          <w:szCs w:val="24"/>
        </w:rPr>
        <w:t>5</w:t>
      </w:r>
      <w:r>
        <w:rPr>
          <w:rFonts w:hint="eastAsia" w:eastAsia="宋体"/>
          <w:sz w:val="24"/>
          <w:szCs w:val="24"/>
          <w:lang w:val="zh-CN"/>
        </w:rPr>
        <w:t>）响应供应商</w:t>
      </w:r>
      <w:r>
        <w:rPr>
          <w:rFonts w:eastAsia="宋体"/>
          <w:sz w:val="24"/>
          <w:szCs w:val="24"/>
        </w:rPr>
        <w:t>负责为采购人免费培训不少于3名系统设备管理员，其中包括理论培训及实际操作培训；</w:t>
      </w:r>
    </w:p>
    <w:p w14:paraId="37821AFC">
      <w:pPr>
        <w:spacing w:line="360" w:lineRule="auto"/>
        <w:ind w:firstLine="480" w:firstLineChars="200"/>
        <w:rPr>
          <w:rFonts w:eastAsia="宋体"/>
          <w:sz w:val="24"/>
          <w:szCs w:val="24"/>
        </w:rPr>
      </w:pPr>
      <w:r>
        <w:rPr>
          <w:rFonts w:hint="eastAsia" w:eastAsia="宋体"/>
          <w:sz w:val="24"/>
          <w:szCs w:val="24"/>
          <w:lang w:val="zh-CN"/>
        </w:rPr>
        <w:t>（</w:t>
      </w:r>
      <w:r>
        <w:rPr>
          <w:rFonts w:hint="eastAsia" w:eastAsia="宋体"/>
          <w:sz w:val="24"/>
          <w:szCs w:val="24"/>
        </w:rPr>
        <w:t>6</w:t>
      </w:r>
      <w:r>
        <w:rPr>
          <w:rFonts w:hint="eastAsia" w:eastAsia="宋体"/>
          <w:sz w:val="24"/>
          <w:szCs w:val="24"/>
          <w:lang w:val="zh-CN"/>
        </w:rPr>
        <w:t>）响应供应商</w:t>
      </w:r>
      <w:r>
        <w:rPr>
          <w:rFonts w:eastAsia="宋体"/>
          <w:sz w:val="24"/>
          <w:szCs w:val="24"/>
        </w:rPr>
        <w:t>承诺提供终身</w:t>
      </w:r>
      <w:r>
        <w:rPr>
          <w:rFonts w:hint="eastAsia" w:eastAsia="宋体"/>
          <w:sz w:val="24"/>
          <w:szCs w:val="24"/>
        </w:rPr>
        <w:t>7×</w:t>
      </w:r>
      <w:r>
        <w:rPr>
          <w:rFonts w:eastAsia="宋体"/>
          <w:sz w:val="24"/>
          <w:szCs w:val="24"/>
        </w:rPr>
        <w:t>24小时售后服务专线支持。免费质保期内每年提供不少于两次检查，并保修期结束前，由</w:t>
      </w:r>
      <w:r>
        <w:rPr>
          <w:rFonts w:hint="eastAsia" w:eastAsia="宋体"/>
          <w:sz w:val="24"/>
          <w:szCs w:val="24"/>
        </w:rPr>
        <w:t>成交</w:t>
      </w:r>
      <w:r>
        <w:rPr>
          <w:rFonts w:eastAsia="宋体"/>
          <w:sz w:val="24"/>
          <w:szCs w:val="24"/>
        </w:rPr>
        <w:t>供应商和采购人双方代表对产品进行一次全面检查，任何缺陷由</w:t>
      </w:r>
      <w:r>
        <w:rPr>
          <w:rFonts w:hint="eastAsia" w:eastAsia="宋体"/>
          <w:sz w:val="24"/>
          <w:szCs w:val="24"/>
        </w:rPr>
        <w:t>成交</w:t>
      </w:r>
      <w:r>
        <w:rPr>
          <w:rFonts w:eastAsia="宋体"/>
          <w:sz w:val="24"/>
          <w:szCs w:val="24"/>
        </w:rPr>
        <w:t>供应商负责处理，并将缺陷原因、修理内容、完成修理和恢复时间等以书面形式告知采购人，并须得到采购人认可。</w:t>
      </w:r>
    </w:p>
    <w:p w14:paraId="3B456E4C">
      <w:pPr>
        <w:spacing w:line="360" w:lineRule="auto"/>
        <w:ind w:firstLine="480" w:firstLineChars="200"/>
        <w:rPr>
          <w:rFonts w:eastAsia="宋体"/>
          <w:sz w:val="24"/>
          <w:szCs w:val="24"/>
        </w:rPr>
      </w:pPr>
      <w:r>
        <w:rPr>
          <w:rFonts w:hint="eastAsia" w:eastAsia="宋体"/>
          <w:sz w:val="24"/>
          <w:szCs w:val="24"/>
          <w:lang w:val="zh-CN"/>
        </w:rPr>
        <w:t>（</w:t>
      </w:r>
      <w:r>
        <w:rPr>
          <w:rFonts w:hint="eastAsia" w:eastAsia="宋体"/>
          <w:sz w:val="24"/>
          <w:szCs w:val="24"/>
        </w:rPr>
        <w:t>7</w:t>
      </w:r>
      <w:r>
        <w:rPr>
          <w:rFonts w:hint="eastAsia" w:eastAsia="宋体"/>
          <w:sz w:val="24"/>
          <w:szCs w:val="24"/>
          <w:lang w:val="zh-CN"/>
        </w:rPr>
        <w:t>）响应供应商</w:t>
      </w:r>
      <w:r>
        <w:rPr>
          <w:rFonts w:eastAsia="宋体"/>
          <w:sz w:val="24"/>
          <w:szCs w:val="24"/>
        </w:rPr>
        <w:t>在项目终验合格正式开通后，进行不少于3个月的现场跟踪检测、维护，并在免费质保期内随时为采购人提供快捷方便的免费服务，如遇用户要求，须委派专业技术人员提供现场保障服务。</w:t>
      </w:r>
    </w:p>
    <w:p w14:paraId="34F79F05">
      <w:pPr>
        <w:spacing w:line="360" w:lineRule="auto"/>
        <w:ind w:firstLine="480" w:firstLineChars="200"/>
        <w:rPr>
          <w:rFonts w:eastAsia="宋体"/>
          <w:sz w:val="24"/>
          <w:szCs w:val="24"/>
        </w:rPr>
      </w:pPr>
      <w:r>
        <w:rPr>
          <w:rFonts w:hint="eastAsia" w:eastAsia="宋体"/>
          <w:sz w:val="24"/>
          <w:szCs w:val="24"/>
        </w:rPr>
        <w:t>（8）成交供应商须提供产品出现故障后的维修服务：系统出现故障时，应积极响应，尽快查明故障原因，2小时内响应，一般问题应在4小时内解决，重大故障应启动应急备用方案，最长不超过</w:t>
      </w:r>
      <w:r>
        <w:rPr>
          <w:rFonts w:eastAsia="宋体"/>
          <w:sz w:val="24"/>
          <w:szCs w:val="24"/>
        </w:rPr>
        <w:t>12</w:t>
      </w:r>
      <w:r>
        <w:rPr>
          <w:rFonts w:hint="eastAsia" w:eastAsia="宋体"/>
          <w:sz w:val="24"/>
          <w:szCs w:val="24"/>
        </w:rPr>
        <w:t>小时。如现场不能维修解决的故障问题，须提供</w:t>
      </w:r>
      <w:r>
        <w:rPr>
          <w:rFonts w:eastAsia="宋体"/>
          <w:sz w:val="24"/>
          <w:szCs w:val="24"/>
        </w:rPr>
        <w:t>临时备件予以替换，确保系统正常运行，并保证所需配件在5个工作日内到达用户现场</w:t>
      </w:r>
      <w:r>
        <w:rPr>
          <w:rFonts w:hint="eastAsia" w:eastAsia="宋体"/>
          <w:sz w:val="24"/>
          <w:szCs w:val="24"/>
        </w:rPr>
        <w:t>。</w:t>
      </w:r>
    </w:p>
    <w:p w14:paraId="5F02E031">
      <w:pPr>
        <w:spacing w:line="360" w:lineRule="auto"/>
        <w:ind w:firstLine="480" w:firstLineChars="200"/>
        <w:rPr>
          <w:rFonts w:eastAsia="宋体"/>
          <w:sz w:val="24"/>
          <w:szCs w:val="24"/>
        </w:rPr>
      </w:pPr>
      <w:r>
        <w:rPr>
          <w:rFonts w:hint="eastAsia" w:eastAsia="宋体"/>
          <w:sz w:val="24"/>
          <w:szCs w:val="24"/>
          <w:lang w:val="zh-CN"/>
        </w:rPr>
        <w:t>（</w:t>
      </w:r>
      <w:r>
        <w:rPr>
          <w:rFonts w:hint="eastAsia" w:eastAsia="宋体"/>
          <w:sz w:val="24"/>
          <w:szCs w:val="24"/>
        </w:rPr>
        <w:t>9</w:t>
      </w:r>
      <w:r>
        <w:rPr>
          <w:rFonts w:hint="eastAsia" w:eastAsia="宋体"/>
          <w:sz w:val="24"/>
          <w:szCs w:val="24"/>
          <w:lang w:val="zh-CN"/>
        </w:rPr>
        <w:t>）响应供应商</w:t>
      </w:r>
      <w:r>
        <w:rPr>
          <w:rFonts w:eastAsia="宋体"/>
          <w:sz w:val="24"/>
          <w:szCs w:val="24"/>
        </w:rPr>
        <w:t>在</w:t>
      </w:r>
      <w:r>
        <w:rPr>
          <w:rFonts w:hint="eastAsia" w:eastAsia="宋体"/>
          <w:sz w:val="24"/>
          <w:szCs w:val="24"/>
        </w:rPr>
        <w:t>项目</w:t>
      </w:r>
      <w:r>
        <w:rPr>
          <w:rFonts w:eastAsia="宋体"/>
          <w:sz w:val="24"/>
          <w:szCs w:val="24"/>
        </w:rPr>
        <w:t>竣工后提供完整的技术资料及使用手册、保修条款，包括验收报告、走线图、系统图等。</w:t>
      </w:r>
    </w:p>
    <w:p w14:paraId="33D80813">
      <w:pPr>
        <w:spacing w:line="360" w:lineRule="auto"/>
        <w:ind w:firstLine="480" w:firstLineChars="200"/>
        <w:rPr>
          <w:rFonts w:eastAsia="宋体"/>
          <w:sz w:val="24"/>
          <w:szCs w:val="24"/>
        </w:rPr>
      </w:pPr>
      <w:r>
        <w:rPr>
          <w:rFonts w:hint="eastAsia" w:eastAsia="宋体"/>
          <w:sz w:val="24"/>
          <w:szCs w:val="24"/>
        </w:rPr>
        <w:t>（10）</w:t>
      </w:r>
      <w:r>
        <w:rPr>
          <w:rFonts w:hint="eastAsia" w:eastAsia="宋体"/>
          <w:sz w:val="24"/>
          <w:szCs w:val="24"/>
          <w:lang w:val="zh-CN"/>
        </w:rPr>
        <w:t>响应供应商</w:t>
      </w:r>
      <w:r>
        <w:rPr>
          <w:rFonts w:eastAsia="宋体"/>
          <w:sz w:val="24"/>
          <w:szCs w:val="24"/>
        </w:rPr>
        <w:t>在免费质保期内上述所有服务及零部件更换、运输等一切相关费用均为免费。</w:t>
      </w:r>
    </w:p>
    <w:p w14:paraId="43B9FF2C">
      <w:pPr>
        <w:spacing w:line="360" w:lineRule="auto"/>
        <w:ind w:firstLine="480" w:firstLineChars="200"/>
        <w:rPr>
          <w:rFonts w:eastAsia="宋体"/>
          <w:sz w:val="24"/>
          <w:szCs w:val="24"/>
          <w:lang w:val="zh-CN"/>
        </w:rPr>
      </w:pPr>
      <w:r>
        <w:rPr>
          <w:rFonts w:hint="eastAsia" w:eastAsia="宋体"/>
          <w:sz w:val="24"/>
          <w:szCs w:val="24"/>
        </w:rPr>
        <w:t>（11）采购</w:t>
      </w:r>
      <w:r>
        <w:rPr>
          <w:rFonts w:eastAsia="宋体"/>
          <w:sz w:val="24"/>
          <w:szCs w:val="24"/>
        </w:rPr>
        <w:t>文件对材质、品质、技术要求所描述的特征或说明只是概括性的最低要求，不能理解为所需的全部系统工序的详细要求，</w:t>
      </w:r>
      <w:r>
        <w:rPr>
          <w:rFonts w:hint="eastAsia" w:eastAsia="宋体"/>
          <w:sz w:val="24"/>
          <w:szCs w:val="24"/>
        </w:rPr>
        <w:t>响应供应商</w:t>
      </w:r>
      <w:r>
        <w:rPr>
          <w:rFonts w:eastAsia="宋体"/>
          <w:sz w:val="24"/>
          <w:szCs w:val="24"/>
        </w:rPr>
        <w:t>应按行业技术标准、质量要求和以往</w:t>
      </w:r>
      <w:r>
        <w:rPr>
          <w:rFonts w:hint="eastAsia" w:eastAsia="宋体"/>
          <w:sz w:val="24"/>
          <w:szCs w:val="24"/>
        </w:rPr>
        <w:t>项目</w:t>
      </w:r>
      <w:r>
        <w:rPr>
          <w:rFonts w:eastAsia="宋体"/>
          <w:sz w:val="24"/>
          <w:szCs w:val="24"/>
        </w:rPr>
        <w:t>的建造经验，以及现场考察情况，对各系统进行深化设计，合格且优质的完成采购内容包含的全部系统的实际工序及服务。</w:t>
      </w:r>
    </w:p>
    <w:p w14:paraId="5F5D4CB1">
      <w:pPr>
        <w:spacing w:line="480" w:lineRule="exact"/>
        <w:ind w:firstLine="482" w:firstLineChars="200"/>
        <w:jc w:val="left"/>
        <w:rPr>
          <w:rFonts w:eastAsia="宋体"/>
          <w:b/>
          <w:color w:val="000000"/>
          <w:sz w:val="24"/>
          <w:szCs w:val="24"/>
        </w:rPr>
      </w:pPr>
      <w:r>
        <w:rPr>
          <w:rFonts w:hint="eastAsia" w:eastAsia="宋体"/>
          <w:b/>
          <w:sz w:val="24"/>
          <w:szCs w:val="24"/>
        </w:rPr>
        <w:t>3、</w:t>
      </w:r>
      <w:r>
        <w:rPr>
          <w:rFonts w:hint="eastAsia" w:eastAsia="宋体"/>
          <w:b/>
          <w:sz w:val="24"/>
          <w:szCs w:val="24"/>
          <w:lang w:val="zh-CN"/>
        </w:rPr>
        <w:t>供货及安装期</w:t>
      </w:r>
      <w:r>
        <w:rPr>
          <w:rFonts w:hint="eastAsia" w:eastAsia="宋体"/>
          <w:b/>
          <w:sz w:val="24"/>
          <w:szCs w:val="24"/>
        </w:rPr>
        <w:t>限：</w:t>
      </w:r>
      <w:r>
        <w:rPr>
          <w:rFonts w:hint="eastAsia" w:eastAsia="宋体"/>
          <w:bCs/>
          <w:sz w:val="24"/>
          <w:szCs w:val="24"/>
        </w:rPr>
        <w:t>合同签订之日起</w:t>
      </w:r>
      <w:r>
        <w:rPr>
          <w:rFonts w:hint="eastAsia" w:eastAsia="宋体"/>
          <w:bCs/>
          <w:sz w:val="24"/>
          <w:szCs w:val="24"/>
          <w:lang w:val="en-US" w:eastAsia="zh-CN"/>
        </w:rPr>
        <w:t>3</w:t>
      </w:r>
      <w:r>
        <w:rPr>
          <w:rFonts w:hint="eastAsia" w:eastAsia="宋体"/>
          <w:bCs/>
          <w:sz w:val="24"/>
          <w:szCs w:val="24"/>
        </w:rPr>
        <w:t>0个日历天内完成所有安装调试</w:t>
      </w:r>
      <w:r>
        <w:rPr>
          <w:rFonts w:hint="eastAsia" w:eastAsia="宋体"/>
          <w:bCs/>
          <w:color w:val="000000"/>
          <w:sz w:val="24"/>
          <w:szCs w:val="24"/>
        </w:rPr>
        <w:t>。</w:t>
      </w:r>
    </w:p>
    <w:p w14:paraId="03825A32">
      <w:pPr>
        <w:spacing w:line="480" w:lineRule="exact"/>
        <w:ind w:firstLine="482" w:firstLineChars="200"/>
        <w:jc w:val="left"/>
        <w:rPr>
          <w:rFonts w:hAnsi="宋体" w:eastAsia="宋体"/>
          <w:sz w:val="24"/>
          <w:szCs w:val="24"/>
        </w:rPr>
      </w:pPr>
      <w:r>
        <w:rPr>
          <w:rFonts w:hint="eastAsia" w:eastAsia="宋体"/>
          <w:b/>
          <w:sz w:val="24"/>
          <w:szCs w:val="24"/>
        </w:rPr>
        <w:t>4</w:t>
      </w:r>
      <w:r>
        <w:rPr>
          <w:rFonts w:hint="eastAsia" w:eastAsia="宋体"/>
          <w:b/>
          <w:sz w:val="24"/>
          <w:szCs w:val="24"/>
          <w:lang w:val="zh-CN"/>
        </w:rPr>
        <w:t>、质保期</w:t>
      </w:r>
      <w:r>
        <w:rPr>
          <w:rFonts w:hint="eastAsia" w:eastAsia="宋体"/>
          <w:b/>
          <w:sz w:val="24"/>
          <w:szCs w:val="24"/>
        </w:rPr>
        <w:t>：</w:t>
      </w:r>
      <w:r>
        <w:rPr>
          <w:rFonts w:hint="eastAsia" w:eastAsia="宋体"/>
          <w:b/>
          <w:sz w:val="24"/>
          <w:szCs w:val="24"/>
          <w:lang w:val="zh-CN"/>
        </w:rPr>
        <w:t>响应</w:t>
      </w:r>
      <w:r>
        <w:rPr>
          <w:rFonts w:hint="eastAsia" w:eastAsia="宋体"/>
          <w:b/>
          <w:sz w:val="24"/>
          <w:szCs w:val="24"/>
        </w:rPr>
        <w:t>供应商</w:t>
      </w:r>
      <w:r>
        <w:rPr>
          <w:rFonts w:hint="eastAsia" w:hAnsi="宋体" w:eastAsia="宋体"/>
          <w:b/>
          <w:sz w:val="24"/>
          <w:szCs w:val="24"/>
        </w:rPr>
        <w:t>须提供</w:t>
      </w:r>
      <w:r>
        <w:rPr>
          <w:rFonts w:hint="eastAsia" w:hAnsi="宋体" w:eastAsia="宋体"/>
          <w:b/>
          <w:color w:val="FF0000"/>
          <w:sz w:val="24"/>
          <w:szCs w:val="24"/>
          <w:lang w:eastAsia="zh-CN"/>
        </w:rPr>
        <w:t>至少</w:t>
      </w:r>
      <w:r>
        <w:rPr>
          <w:rFonts w:hint="eastAsia" w:hAnsi="宋体" w:eastAsia="宋体"/>
          <w:b/>
          <w:color w:val="FF0000"/>
          <w:sz w:val="24"/>
          <w:szCs w:val="24"/>
        </w:rPr>
        <w:t>3年</w:t>
      </w:r>
      <w:r>
        <w:rPr>
          <w:rFonts w:hint="eastAsia" w:hAnsi="宋体" w:eastAsia="宋体"/>
          <w:b/>
          <w:sz w:val="24"/>
          <w:szCs w:val="24"/>
        </w:rPr>
        <w:t>的免费质保承诺。</w:t>
      </w:r>
      <w:r>
        <w:rPr>
          <w:rFonts w:hint="eastAsia" w:hAnsi="宋体" w:eastAsia="宋体"/>
          <w:b/>
          <w:color w:val="FF0000"/>
          <w:sz w:val="24"/>
          <w:szCs w:val="24"/>
        </w:rPr>
        <w:t>出具原厂承诺函，格式自拟</w:t>
      </w:r>
      <w:r>
        <w:rPr>
          <w:rFonts w:hint="eastAsia" w:hAnsi="宋体" w:eastAsia="宋体"/>
          <w:color w:val="FF0000"/>
          <w:sz w:val="24"/>
          <w:szCs w:val="24"/>
        </w:rPr>
        <w:t>。</w:t>
      </w:r>
    </w:p>
    <w:p w14:paraId="7D6032C5">
      <w:pPr>
        <w:spacing w:line="480" w:lineRule="exact"/>
        <w:ind w:firstLine="482" w:firstLineChars="200"/>
        <w:jc w:val="left"/>
        <w:rPr>
          <w:rFonts w:hint="eastAsia" w:eastAsia="宋体"/>
          <w:b/>
          <w:sz w:val="24"/>
          <w:szCs w:val="24"/>
          <w:lang w:val="en-US" w:eastAsia="zh-CN"/>
        </w:rPr>
      </w:pPr>
      <w:r>
        <w:rPr>
          <w:rFonts w:hint="eastAsia" w:eastAsia="宋体"/>
          <w:b/>
          <w:sz w:val="24"/>
          <w:szCs w:val="24"/>
        </w:rPr>
        <w:t>5、付款方式</w:t>
      </w:r>
      <w:r>
        <w:rPr>
          <w:rFonts w:hint="eastAsia" w:eastAsia="宋体"/>
          <w:b/>
          <w:sz w:val="24"/>
          <w:szCs w:val="24"/>
          <w:lang w:val="en-US" w:eastAsia="zh-CN"/>
        </w:rPr>
        <w:t xml:space="preserve"> </w:t>
      </w:r>
    </w:p>
    <w:p w14:paraId="36B92FF8">
      <w:pPr>
        <w:spacing w:line="360" w:lineRule="auto"/>
        <w:ind w:firstLine="480" w:firstLineChars="200"/>
        <w:rPr>
          <w:rFonts w:eastAsia="宋体"/>
          <w:sz w:val="24"/>
          <w:szCs w:val="24"/>
        </w:rPr>
      </w:pPr>
      <w:r>
        <w:rPr>
          <w:rFonts w:hint="eastAsia" w:eastAsia="宋体"/>
          <w:sz w:val="24"/>
          <w:szCs w:val="24"/>
        </w:rPr>
        <w:t>货到安装、调试验收合格并且成交供应商已按照采购人要求提供了技术培训、技术资料以及合同总额</w:t>
      </w:r>
      <w:r>
        <w:rPr>
          <w:rFonts w:eastAsia="宋体"/>
          <w:sz w:val="24"/>
          <w:szCs w:val="24"/>
        </w:rPr>
        <w:t>90</w:t>
      </w:r>
      <w:r>
        <w:rPr>
          <w:rFonts w:hint="eastAsia" w:eastAsia="宋体"/>
          <w:sz w:val="24"/>
          <w:szCs w:val="24"/>
        </w:rPr>
        <w:t>%的发票后，采购人按支付流程30日内支付合同总额</w:t>
      </w:r>
      <w:r>
        <w:rPr>
          <w:rFonts w:eastAsia="宋体"/>
          <w:sz w:val="24"/>
          <w:szCs w:val="24"/>
        </w:rPr>
        <w:t>9</w:t>
      </w:r>
      <w:r>
        <w:rPr>
          <w:rFonts w:hint="eastAsia" w:eastAsia="宋体"/>
          <w:sz w:val="24"/>
          <w:szCs w:val="24"/>
        </w:rPr>
        <w:t>0%的款项。验收合格满一年且采购人收到成交供应商提供的合同总额</w:t>
      </w:r>
      <w:r>
        <w:rPr>
          <w:rFonts w:eastAsia="宋体"/>
          <w:sz w:val="24"/>
          <w:szCs w:val="24"/>
        </w:rPr>
        <w:t>5</w:t>
      </w:r>
      <w:r>
        <w:rPr>
          <w:rFonts w:hint="eastAsia" w:eastAsia="宋体"/>
          <w:sz w:val="24"/>
          <w:szCs w:val="24"/>
        </w:rPr>
        <w:t>%的剩余款项发票，验收合格满三年后，采购人按支付流程30日内支付合同总额</w:t>
      </w:r>
      <w:r>
        <w:rPr>
          <w:rFonts w:eastAsia="宋体"/>
          <w:sz w:val="24"/>
          <w:szCs w:val="24"/>
        </w:rPr>
        <w:t>5</w:t>
      </w:r>
      <w:r>
        <w:rPr>
          <w:rFonts w:hint="eastAsia" w:eastAsia="宋体"/>
          <w:sz w:val="24"/>
          <w:szCs w:val="24"/>
        </w:rPr>
        <w:t>%的款项。</w:t>
      </w:r>
    </w:p>
    <w:p w14:paraId="486607B6">
      <w:pPr>
        <w:numPr>
          <w:ilvl w:val="0"/>
          <w:numId w:val="3"/>
        </w:numPr>
        <w:spacing w:line="480" w:lineRule="exact"/>
        <w:ind w:firstLine="482" w:firstLineChars="200"/>
        <w:jc w:val="left"/>
        <w:rPr>
          <w:rFonts w:eastAsia="宋体"/>
          <w:b/>
          <w:sz w:val="24"/>
          <w:szCs w:val="24"/>
        </w:rPr>
      </w:pPr>
      <w:r>
        <w:rPr>
          <w:rFonts w:hint="eastAsia" w:eastAsia="宋体"/>
          <w:b/>
          <w:sz w:val="24"/>
          <w:szCs w:val="24"/>
        </w:rPr>
        <w:t>其他要求：</w:t>
      </w:r>
    </w:p>
    <w:p w14:paraId="5F74B49F">
      <w:pPr>
        <w:spacing w:line="360" w:lineRule="auto"/>
        <w:ind w:firstLine="480" w:firstLineChars="200"/>
        <w:rPr>
          <w:rFonts w:eastAsia="宋体"/>
          <w:sz w:val="24"/>
          <w:szCs w:val="24"/>
        </w:rPr>
      </w:pPr>
      <w:r>
        <w:rPr>
          <w:rFonts w:hint="eastAsia" w:eastAsia="宋体"/>
          <w:sz w:val="24"/>
          <w:szCs w:val="24"/>
        </w:rPr>
        <w:t>（1）车道智能交通设备，软件系统包含系统客户端、管理客户端、岗亭客户端，支持线上支付（微信及支付宝）；</w:t>
      </w:r>
    </w:p>
    <w:p w14:paraId="7E4DDF78">
      <w:pPr>
        <w:spacing w:line="360" w:lineRule="auto"/>
        <w:ind w:firstLine="480" w:firstLineChars="200"/>
        <w:rPr>
          <w:rFonts w:eastAsia="宋体"/>
          <w:sz w:val="24"/>
          <w:szCs w:val="24"/>
        </w:rPr>
      </w:pPr>
      <w:r>
        <w:rPr>
          <w:rFonts w:hint="eastAsia" w:eastAsia="宋体"/>
          <w:sz w:val="24"/>
          <w:szCs w:val="24"/>
        </w:rPr>
        <w:t>（2）摄像机实时监控；</w:t>
      </w:r>
    </w:p>
    <w:p w14:paraId="7F0C2E1B">
      <w:pPr>
        <w:spacing w:line="360" w:lineRule="auto"/>
        <w:ind w:firstLine="480" w:firstLineChars="200"/>
        <w:rPr>
          <w:rFonts w:eastAsia="宋体"/>
          <w:sz w:val="24"/>
          <w:szCs w:val="24"/>
        </w:rPr>
      </w:pPr>
      <w:r>
        <w:rPr>
          <w:rFonts w:hint="eastAsia" w:eastAsia="宋体"/>
          <w:sz w:val="24"/>
          <w:szCs w:val="24"/>
        </w:rPr>
        <w:t>（</w:t>
      </w:r>
      <w:r>
        <w:rPr>
          <w:rFonts w:eastAsia="宋体"/>
          <w:sz w:val="24"/>
          <w:szCs w:val="24"/>
        </w:rPr>
        <w:t>3</w:t>
      </w:r>
      <w:r>
        <w:rPr>
          <w:rFonts w:hint="eastAsia" w:eastAsia="宋体"/>
          <w:sz w:val="24"/>
          <w:szCs w:val="24"/>
        </w:rPr>
        <w:t>）具备防砸车功能；</w:t>
      </w:r>
    </w:p>
    <w:p w14:paraId="5F699131">
      <w:pPr>
        <w:spacing w:line="360" w:lineRule="auto"/>
        <w:ind w:firstLine="480" w:firstLineChars="200"/>
        <w:rPr>
          <w:rFonts w:eastAsia="宋体"/>
          <w:sz w:val="24"/>
          <w:szCs w:val="24"/>
        </w:rPr>
      </w:pPr>
      <w:r>
        <w:rPr>
          <w:rFonts w:hint="eastAsia" w:eastAsia="宋体"/>
          <w:sz w:val="24"/>
          <w:szCs w:val="24"/>
        </w:rPr>
        <w:t>（</w:t>
      </w:r>
      <w:r>
        <w:rPr>
          <w:rFonts w:eastAsia="宋体"/>
          <w:sz w:val="24"/>
          <w:szCs w:val="24"/>
        </w:rPr>
        <w:t>4</w:t>
      </w:r>
      <w:r>
        <w:rPr>
          <w:rFonts w:hint="eastAsia" w:eastAsia="宋体"/>
          <w:sz w:val="24"/>
          <w:szCs w:val="24"/>
        </w:rPr>
        <w:t>）支持客户端软件、IE浏览器等多种方式登录。车场管理功能包括:剩余车位管理、内部车管理等；报表中心支持营业日日报和月报、缴费记录查询、在场车记录查询、出入车记录查询等功能。预留端口免费对接院内各类平台；</w:t>
      </w:r>
    </w:p>
    <w:p w14:paraId="34E66D15">
      <w:pPr>
        <w:spacing w:line="360" w:lineRule="auto"/>
        <w:ind w:firstLine="480" w:firstLineChars="200"/>
        <w:rPr>
          <w:rFonts w:eastAsia="宋体"/>
          <w:color w:val="FF0000"/>
          <w:sz w:val="24"/>
          <w:szCs w:val="24"/>
        </w:rPr>
      </w:pPr>
      <w:r>
        <w:rPr>
          <w:rFonts w:hint="eastAsia" w:eastAsia="宋体"/>
          <w:color w:val="FF0000"/>
          <w:sz w:val="24"/>
          <w:szCs w:val="24"/>
        </w:rPr>
        <w:t>（</w:t>
      </w:r>
      <w:r>
        <w:rPr>
          <w:rFonts w:eastAsia="宋体"/>
          <w:color w:val="FF0000"/>
          <w:sz w:val="24"/>
          <w:szCs w:val="24"/>
        </w:rPr>
        <w:t>5</w:t>
      </w:r>
      <w:r>
        <w:rPr>
          <w:rFonts w:hint="eastAsia" w:eastAsia="宋体"/>
          <w:color w:val="FF0000"/>
          <w:sz w:val="24"/>
          <w:szCs w:val="24"/>
        </w:rPr>
        <w:t>）停车管理系统需无缝对接至医院现有安防管理平台（需出具原厂家无缝对接承诺函，并加盖原厂公章），实现数据统一管理，并支持与智泊南通平台进行对接，后续根据医院需要进行对接，不再额外收费。。</w:t>
      </w:r>
    </w:p>
    <w:p w14:paraId="53BA72C2">
      <w:pPr>
        <w:spacing w:line="360" w:lineRule="auto"/>
        <w:ind w:firstLine="480" w:firstLineChars="200"/>
        <w:rPr>
          <w:rFonts w:eastAsia="宋体"/>
          <w:color w:val="FF0000"/>
          <w:sz w:val="24"/>
          <w:szCs w:val="24"/>
        </w:rPr>
      </w:pPr>
      <w:r>
        <w:rPr>
          <w:rFonts w:hint="eastAsia" w:eastAsia="宋体"/>
          <w:color w:val="FF0000"/>
          <w:sz w:val="24"/>
          <w:szCs w:val="24"/>
        </w:rPr>
        <w:t>（</w:t>
      </w:r>
      <w:r>
        <w:rPr>
          <w:rFonts w:eastAsia="宋体"/>
          <w:color w:val="FF0000"/>
          <w:sz w:val="24"/>
          <w:szCs w:val="24"/>
        </w:rPr>
        <w:t>6）将原有岗亭移位以及重新更改地基基础；行政门保留原有道闸，将平台等按要求进行搬迁；</w:t>
      </w:r>
    </w:p>
    <w:p w14:paraId="4BAF10F8">
      <w:pPr>
        <w:spacing w:line="360" w:lineRule="auto"/>
        <w:ind w:firstLine="482" w:firstLineChars="200"/>
        <w:rPr>
          <w:rFonts w:eastAsia="宋体"/>
          <w:b/>
          <w:sz w:val="24"/>
          <w:szCs w:val="24"/>
          <w:u w:val="thick" w:color="FF0000"/>
        </w:rPr>
      </w:pPr>
      <w:r>
        <w:rPr>
          <w:rFonts w:hint="eastAsia" w:eastAsia="宋体"/>
          <w:b/>
          <w:sz w:val="24"/>
          <w:szCs w:val="24"/>
          <w:u w:val="thick" w:color="FF0000"/>
        </w:rPr>
        <w:t>注：“三、商务和服务要求”须全部满足，不得出现负偏离，不满足该要求的将导致响应文件被拒绝。</w:t>
      </w:r>
    </w:p>
    <w:p w14:paraId="0B13846F">
      <w:pPr>
        <w:numPr>
          <w:ilvl w:val="0"/>
          <w:numId w:val="0"/>
        </w:numPr>
        <w:spacing w:line="360" w:lineRule="auto"/>
        <w:rPr>
          <w:rFonts w:eastAsia="宋体" w:cs="宋体"/>
          <w:b/>
          <w:w w:val="80"/>
          <w:kern w:val="44"/>
          <w:sz w:val="36"/>
          <w:szCs w:val="36"/>
        </w:rPr>
      </w:pPr>
      <w:r>
        <w:rPr>
          <w:rFonts w:hint="eastAsia" w:eastAsia="宋体"/>
          <w:b/>
          <w:sz w:val="24"/>
          <w:szCs w:val="24"/>
        </w:rPr>
        <w:br w:type="page"/>
      </w:r>
      <w:r>
        <w:rPr>
          <w:rFonts w:eastAsia="宋体" w:cs="宋体"/>
          <w:b/>
          <w:w w:val="80"/>
          <w:kern w:val="44"/>
          <w:sz w:val="36"/>
          <w:szCs w:val="36"/>
        </w:rPr>
        <w:t>评审方法</w:t>
      </w:r>
    </w:p>
    <w:p w14:paraId="1D109E8F">
      <w:pPr>
        <w:spacing w:line="360" w:lineRule="auto"/>
        <w:ind w:firstLine="480" w:firstLineChars="200"/>
        <w:rPr>
          <w:rFonts w:eastAsia="宋体"/>
          <w:sz w:val="24"/>
          <w:szCs w:val="24"/>
        </w:rPr>
      </w:pPr>
      <w:r>
        <w:rPr>
          <w:rFonts w:eastAsia="宋体"/>
          <w:sz w:val="24"/>
          <w:szCs w:val="24"/>
        </w:rPr>
        <w:t>1、本项目采用</w:t>
      </w:r>
      <w:r>
        <w:rPr>
          <w:rFonts w:eastAsia="宋体"/>
          <w:sz w:val="24"/>
          <w:szCs w:val="24"/>
          <w:u w:val="single"/>
        </w:rPr>
        <w:t xml:space="preserve"> </w:t>
      </w:r>
      <w:r>
        <w:rPr>
          <w:rFonts w:eastAsia="宋体"/>
          <w:b/>
          <w:sz w:val="24"/>
          <w:szCs w:val="24"/>
          <w:u w:val="single"/>
        </w:rPr>
        <w:t>综合评分法</w:t>
      </w:r>
      <w:r>
        <w:rPr>
          <w:rFonts w:eastAsia="宋体"/>
          <w:sz w:val="24"/>
          <w:szCs w:val="24"/>
          <w:u w:val="single"/>
        </w:rPr>
        <w:t xml:space="preserve"> </w:t>
      </w:r>
      <w:r>
        <w:rPr>
          <w:rFonts w:eastAsia="宋体"/>
          <w:sz w:val="24"/>
          <w:szCs w:val="24"/>
        </w:rPr>
        <w:t>，即指响应文件满足本项目采购文件全部实质性要求，且按照评审因素的量化指标，经评审后得分最高的供应商推荐为成交商的评审方法。</w:t>
      </w:r>
    </w:p>
    <w:p w14:paraId="55772530">
      <w:pPr>
        <w:spacing w:line="360" w:lineRule="auto"/>
        <w:ind w:firstLine="480" w:firstLineChars="200"/>
        <w:rPr>
          <w:rFonts w:eastAsia="宋体"/>
          <w:sz w:val="24"/>
          <w:szCs w:val="24"/>
        </w:rPr>
      </w:pPr>
      <w:r>
        <w:rPr>
          <w:rFonts w:eastAsia="宋体"/>
          <w:sz w:val="24"/>
          <w:szCs w:val="24"/>
        </w:rPr>
        <w:t>3、本次</w:t>
      </w:r>
      <w:r>
        <w:rPr>
          <w:rFonts w:eastAsia="宋体" w:cs="宋体"/>
          <w:sz w:val="24"/>
          <w:szCs w:val="24"/>
        </w:rPr>
        <w:t>项目</w:t>
      </w:r>
      <w:r>
        <w:rPr>
          <w:rFonts w:eastAsia="宋体"/>
          <w:sz w:val="24"/>
          <w:szCs w:val="24"/>
        </w:rPr>
        <w:t>的技术</w:t>
      </w:r>
      <w:r>
        <w:rPr>
          <w:rFonts w:hint="eastAsia" w:eastAsia="宋体"/>
          <w:sz w:val="24"/>
          <w:szCs w:val="24"/>
        </w:rPr>
        <w:t>文件</w:t>
      </w:r>
      <w:r>
        <w:rPr>
          <w:rFonts w:eastAsia="宋体"/>
          <w:sz w:val="24"/>
          <w:szCs w:val="24"/>
        </w:rPr>
        <w:t>和商务</w:t>
      </w:r>
      <w:r>
        <w:rPr>
          <w:rFonts w:hint="eastAsia" w:eastAsia="宋体"/>
          <w:sz w:val="24"/>
          <w:szCs w:val="24"/>
        </w:rPr>
        <w:t>文件</w:t>
      </w:r>
      <w:r>
        <w:rPr>
          <w:rFonts w:eastAsia="宋体"/>
          <w:sz w:val="24"/>
          <w:szCs w:val="24"/>
        </w:rPr>
        <w:t>评审总分值为100分。两部分评审因素比重如下：</w:t>
      </w:r>
    </w:p>
    <w:p w14:paraId="14A58222">
      <w:pPr>
        <w:spacing w:line="360" w:lineRule="auto"/>
        <w:ind w:firstLine="480" w:firstLineChars="200"/>
        <w:rPr>
          <w:rFonts w:eastAsia="宋体"/>
          <w:kern w:val="0"/>
          <w:sz w:val="24"/>
          <w:szCs w:val="24"/>
        </w:rPr>
      </w:pPr>
      <w:r>
        <w:rPr>
          <w:rFonts w:eastAsia="宋体"/>
          <w:kern w:val="0"/>
          <w:sz w:val="24"/>
          <w:szCs w:val="24"/>
        </w:rPr>
        <w:t>技术</w:t>
      </w:r>
      <w:r>
        <w:rPr>
          <w:rFonts w:hint="eastAsia" w:eastAsia="宋体"/>
          <w:kern w:val="0"/>
          <w:sz w:val="24"/>
          <w:szCs w:val="24"/>
        </w:rPr>
        <w:t>文件</w:t>
      </w:r>
      <w:r>
        <w:rPr>
          <w:rFonts w:eastAsia="宋体"/>
          <w:kern w:val="0"/>
          <w:sz w:val="24"/>
          <w:szCs w:val="24"/>
        </w:rPr>
        <w:t>分值占总分值的比重为</w:t>
      </w:r>
      <w:r>
        <w:rPr>
          <w:rFonts w:hint="eastAsia" w:eastAsia="宋体"/>
          <w:b/>
          <w:bCs/>
          <w:kern w:val="0"/>
          <w:sz w:val="24"/>
          <w:szCs w:val="24"/>
          <w:u w:val="single"/>
        </w:rPr>
        <w:t>70</w:t>
      </w:r>
      <w:r>
        <w:rPr>
          <w:rFonts w:eastAsia="宋体"/>
          <w:b/>
          <w:bCs/>
          <w:kern w:val="0"/>
          <w:sz w:val="24"/>
          <w:szCs w:val="24"/>
          <w:u w:val="single"/>
        </w:rPr>
        <w:t>%</w:t>
      </w:r>
      <w:r>
        <w:rPr>
          <w:rFonts w:eastAsia="宋体"/>
          <w:b/>
          <w:kern w:val="0"/>
          <w:sz w:val="24"/>
          <w:szCs w:val="24"/>
        </w:rPr>
        <w:t>（权重）</w:t>
      </w:r>
      <w:r>
        <w:rPr>
          <w:rFonts w:eastAsia="宋体"/>
          <w:kern w:val="0"/>
          <w:sz w:val="24"/>
          <w:szCs w:val="24"/>
        </w:rPr>
        <w:t>（计算结果均四舍五入保留两位小数）；</w:t>
      </w:r>
    </w:p>
    <w:p w14:paraId="5C609C60">
      <w:pPr>
        <w:spacing w:line="360" w:lineRule="auto"/>
        <w:ind w:firstLine="480" w:firstLineChars="200"/>
        <w:rPr>
          <w:rFonts w:eastAsia="宋体"/>
          <w:kern w:val="0"/>
          <w:sz w:val="24"/>
          <w:szCs w:val="24"/>
        </w:rPr>
      </w:pPr>
      <w:r>
        <w:rPr>
          <w:rFonts w:eastAsia="宋体"/>
          <w:kern w:val="0"/>
          <w:sz w:val="24"/>
          <w:szCs w:val="24"/>
        </w:rPr>
        <w:t>商务</w:t>
      </w:r>
      <w:r>
        <w:rPr>
          <w:rFonts w:hint="eastAsia" w:eastAsia="宋体"/>
          <w:kern w:val="0"/>
          <w:sz w:val="24"/>
          <w:szCs w:val="24"/>
        </w:rPr>
        <w:t>文件</w:t>
      </w:r>
      <w:r>
        <w:rPr>
          <w:rFonts w:eastAsia="宋体"/>
          <w:kern w:val="0"/>
          <w:sz w:val="24"/>
          <w:szCs w:val="24"/>
        </w:rPr>
        <w:t>分值占总分值的比重为</w:t>
      </w:r>
      <w:r>
        <w:rPr>
          <w:rFonts w:hint="eastAsia" w:eastAsia="宋体"/>
          <w:b/>
          <w:bCs/>
          <w:kern w:val="0"/>
          <w:sz w:val="24"/>
          <w:szCs w:val="24"/>
          <w:u w:val="single"/>
        </w:rPr>
        <w:t>30</w:t>
      </w:r>
      <w:r>
        <w:rPr>
          <w:rFonts w:eastAsia="宋体"/>
          <w:b/>
          <w:bCs/>
          <w:kern w:val="0"/>
          <w:sz w:val="24"/>
          <w:szCs w:val="24"/>
          <w:u w:val="single"/>
        </w:rPr>
        <w:t>%</w:t>
      </w:r>
      <w:r>
        <w:rPr>
          <w:rFonts w:eastAsia="宋体"/>
          <w:b/>
          <w:kern w:val="0"/>
          <w:sz w:val="24"/>
          <w:szCs w:val="24"/>
        </w:rPr>
        <w:t>（权重）</w:t>
      </w:r>
      <w:r>
        <w:rPr>
          <w:rFonts w:eastAsia="宋体"/>
          <w:kern w:val="0"/>
          <w:sz w:val="24"/>
          <w:szCs w:val="24"/>
        </w:rPr>
        <w:t>（计算结果均四舍五入保留两位小数）；</w:t>
      </w:r>
    </w:p>
    <w:p w14:paraId="00674427">
      <w:pPr>
        <w:spacing w:line="360" w:lineRule="auto"/>
        <w:ind w:firstLine="480" w:firstLineChars="200"/>
        <w:rPr>
          <w:rFonts w:eastAsia="宋体"/>
          <w:b/>
          <w:bCs/>
          <w:sz w:val="24"/>
          <w:szCs w:val="24"/>
        </w:rPr>
      </w:pPr>
      <w:r>
        <w:rPr>
          <w:rFonts w:hint="eastAsia" w:eastAsia="宋体"/>
          <w:sz w:val="24"/>
          <w:szCs w:val="24"/>
        </w:rPr>
        <w:t>6、</w:t>
      </w:r>
      <w:r>
        <w:rPr>
          <w:rFonts w:hint="eastAsia" w:eastAsia="宋体"/>
          <w:b/>
          <w:bCs/>
          <w:sz w:val="24"/>
          <w:szCs w:val="24"/>
        </w:rPr>
        <w:t>技术分当取所有技术标评委评分的平均值为最终得分。（计算结果均四舍五入保留两位小数）。</w:t>
      </w:r>
    </w:p>
    <w:p w14:paraId="0212B82B">
      <w:pPr>
        <w:spacing w:line="360" w:lineRule="auto"/>
        <w:ind w:firstLine="480" w:firstLineChars="200"/>
        <w:rPr>
          <w:rFonts w:eastAsia="宋体"/>
          <w:sz w:val="24"/>
          <w:szCs w:val="24"/>
        </w:rPr>
      </w:pPr>
      <w:r>
        <w:rPr>
          <w:rFonts w:hint="eastAsia" w:eastAsia="宋体"/>
          <w:sz w:val="24"/>
          <w:szCs w:val="24"/>
        </w:rPr>
        <w:t>8、</w:t>
      </w:r>
      <w:r>
        <w:rPr>
          <w:rFonts w:eastAsia="宋体"/>
          <w:sz w:val="24"/>
          <w:szCs w:val="24"/>
        </w:rPr>
        <w:t>供应商的</w:t>
      </w:r>
      <w:r>
        <w:rPr>
          <w:rFonts w:hint="eastAsia" w:eastAsia="宋体"/>
          <w:sz w:val="24"/>
          <w:szCs w:val="24"/>
        </w:rPr>
        <w:t>价格标</w:t>
      </w:r>
      <w:r>
        <w:rPr>
          <w:rFonts w:eastAsia="宋体"/>
          <w:sz w:val="24"/>
          <w:szCs w:val="24"/>
        </w:rPr>
        <w:t>得分直接计算取得，并与其技术</w:t>
      </w:r>
      <w:r>
        <w:rPr>
          <w:rFonts w:hint="eastAsia" w:eastAsia="宋体"/>
          <w:sz w:val="24"/>
          <w:szCs w:val="24"/>
        </w:rPr>
        <w:t>文件</w:t>
      </w:r>
      <w:r>
        <w:rPr>
          <w:rFonts w:eastAsia="宋体"/>
          <w:sz w:val="24"/>
          <w:szCs w:val="24"/>
        </w:rPr>
        <w:t>得分相加为该供应商的综合得分（计算结果均四舍五入保留两位小数）。</w:t>
      </w:r>
    </w:p>
    <w:bookmarkEnd w:id="1"/>
    <w:p w14:paraId="4D9B958B">
      <w:pPr>
        <w:spacing w:line="360" w:lineRule="auto"/>
        <w:ind w:firstLine="480" w:firstLineChars="200"/>
        <w:rPr>
          <w:rFonts w:hint="eastAsia" w:eastAsia="宋体" w:cs="Arial Unicode MS"/>
          <w:sz w:val="24"/>
          <w:szCs w:val="24"/>
          <w:u w:color="000000"/>
        </w:rPr>
        <w:sectPr>
          <w:pgSz w:w="11906" w:h="16838"/>
          <w:pgMar w:top="1440" w:right="1800" w:bottom="1440" w:left="1800" w:header="851" w:footer="992" w:gutter="0"/>
          <w:cols w:space="425" w:num="1"/>
          <w:docGrid w:type="lines" w:linePitch="312" w:charSpace="0"/>
        </w:sectPr>
      </w:pPr>
    </w:p>
    <w:p w14:paraId="7EE7C6D5">
      <w:pPr>
        <w:spacing w:line="360" w:lineRule="auto"/>
        <w:ind w:firstLine="480" w:firstLineChars="200"/>
        <w:rPr>
          <w:rFonts w:eastAsia="宋体" w:cs="Arial Unicode MS"/>
          <w:sz w:val="24"/>
          <w:szCs w:val="24"/>
          <w:u w:color="000000"/>
        </w:rPr>
      </w:pPr>
      <w:r>
        <w:rPr>
          <w:rFonts w:hint="eastAsia" w:eastAsia="宋体" w:cs="Arial Unicode MS"/>
          <w:sz w:val="24"/>
          <w:szCs w:val="24"/>
          <w:u w:color="000000"/>
        </w:rPr>
        <w:t>技术部分评分</w:t>
      </w:r>
      <w:r>
        <w:rPr>
          <w:rFonts w:hint="eastAsia" w:eastAsia="宋体" w:cs="Arial Unicode MS"/>
          <w:sz w:val="24"/>
          <w:szCs w:val="24"/>
          <w:u w:color="000000"/>
          <w:lang w:val="en-US" w:eastAsia="zh-CN"/>
        </w:rPr>
        <w:t>细则</w:t>
      </w:r>
      <w:r>
        <w:rPr>
          <w:rFonts w:hint="eastAsia" w:eastAsia="宋体" w:cs="Arial Unicode MS"/>
          <w:sz w:val="24"/>
          <w:szCs w:val="24"/>
          <w:u w:color="000000"/>
        </w:rPr>
        <w:t>：70分</w:t>
      </w:r>
    </w:p>
    <w:tbl>
      <w:tblPr>
        <w:tblStyle w:val="8"/>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1354"/>
        <w:gridCol w:w="880"/>
        <w:gridCol w:w="6690"/>
      </w:tblGrid>
      <w:tr w14:paraId="1F34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02" w:type="dxa"/>
          </w:tcPr>
          <w:p w14:paraId="0A8A403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354" w:type="dxa"/>
          </w:tcPr>
          <w:p w14:paraId="45B017B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评分项目</w:t>
            </w:r>
          </w:p>
        </w:tc>
        <w:tc>
          <w:tcPr>
            <w:tcW w:w="880" w:type="dxa"/>
          </w:tcPr>
          <w:p w14:paraId="28777F48">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分值</w:t>
            </w:r>
          </w:p>
        </w:tc>
        <w:tc>
          <w:tcPr>
            <w:tcW w:w="6690" w:type="dxa"/>
          </w:tcPr>
          <w:p w14:paraId="5305BF7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评分标准</w:t>
            </w:r>
          </w:p>
        </w:tc>
      </w:tr>
      <w:tr w14:paraId="0629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02" w:type="dxa"/>
            <w:vAlign w:val="center"/>
          </w:tcPr>
          <w:p w14:paraId="4906B82D">
            <w:pPr>
              <w:spacing w:line="360" w:lineRule="auto"/>
              <w:jc w:val="center"/>
              <w:rPr>
                <w:rFonts w:ascii="宋体" w:hAnsi="宋体" w:eastAsia="宋体" w:cs="宋体"/>
                <w:b/>
                <w:bCs/>
                <w:sz w:val="24"/>
                <w:szCs w:val="24"/>
              </w:rPr>
            </w:pPr>
            <w:r>
              <w:rPr>
                <w:rFonts w:hint="eastAsia" w:ascii="宋体" w:hAnsi="宋体" w:eastAsia="宋体" w:cs="宋体"/>
                <w:sz w:val="24"/>
                <w:szCs w:val="24"/>
              </w:rPr>
              <w:t>1</w:t>
            </w:r>
          </w:p>
        </w:tc>
        <w:tc>
          <w:tcPr>
            <w:tcW w:w="1354" w:type="dxa"/>
            <w:vAlign w:val="center"/>
          </w:tcPr>
          <w:p w14:paraId="47B8EF31">
            <w:pPr>
              <w:jc w:val="center"/>
              <w:rPr>
                <w:rFonts w:ascii="宋体" w:hAnsi="宋体" w:eastAsia="宋体" w:cs="宋体"/>
                <w:sz w:val="24"/>
                <w:szCs w:val="24"/>
              </w:rPr>
            </w:pPr>
            <w:r>
              <w:rPr>
                <w:rFonts w:hint="eastAsia" w:ascii="宋体" w:hAnsi="宋体" w:eastAsia="宋体" w:cs="宋体"/>
                <w:sz w:val="24"/>
                <w:szCs w:val="24"/>
              </w:rPr>
              <w:t>技术参数</w:t>
            </w:r>
          </w:p>
          <w:p w14:paraId="2526A0F9">
            <w:pPr>
              <w:jc w:val="center"/>
              <w:rPr>
                <w:rFonts w:ascii="宋体" w:hAnsi="宋体" w:eastAsia="宋体" w:cs="宋体"/>
                <w:sz w:val="24"/>
                <w:szCs w:val="24"/>
              </w:rPr>
            </w:pPr>
            <w:r>
              <w:rPr>
                <w:rFonts w:hint="eastAsia" w:ascii="宋体" w:hAnsi="宋体" w:eastAsia="宋体" w:cs="宋体"/>
                <w:sz w:val="24"/>
                <w:szCs w:val="24"/>
              </w:rPr>
              <w:t>响应</w:t>
            </w:r>
          </w:p>
        </w:tc>
        <w:tc>
          <w:tcPr>
            <w:tcW w:w="880" w:type="dxa"/>
            <w:vAlign w:val="center"/>
          </w:tcPr>
          <w:p w14:paraId="1BCC8EE0">
            <w:pPr>
              <w:snapToGrid w:val="0"/>
              <w:contextualSpacing/>
              <w:jc w:val="center"/>
              <w:rPr>
                <w:rFonts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分</w:t>
            </w:r>
          </w:p>
        </w:tc>
        <w:tc>
          <w:tcPr>
            <w:tcW w:w="6690" w:type="dxa"/>
          </w:tcPr>
          <w:p w14:paraId="231E5C56">
            <w:pPr>
              <w:snapToGrid w:val="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对照投标人所投产品参数、配置、功能、服务内容，满足招标文件要求，全部响应招标文件要求并能按要求提供相应产品参数的</w:t>
            </w:r>
            <w:r>
              <w:rPr>
                <w:rFonts w:hint="eastAsia" w:ascii="宋体" w:hAnsi="宋体" w:eastAsia="宋体" w:cs="宋体"/>
                <w:kern w:val="0"/>
                <w:sz w:val="24"/>
                <w:szCs w:val="24"/>
                <w:lang w:val="en-US" w:eastAsia="zh-CN"/>
              </w:rPr>
              <w:t>检测报告等佐证</w:t>
            </w:r>
            <w:r>
              <w:rPr>
                <w:rFonts w:hint="eastAsia" w:ascii="宋体" w:hAnsi="宋体" w:eastAsia="宋体" w:cs="宋体"/>
                <w:kern w:val="0"/>
                <w:sz w:val="24"/>
                <w:szCs w:val="24"/>
              </w:rPr>
              <w:t>材料的得</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分，根据招标文件“产品技术参数”进行评审，完全符合采购要求得满分</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分；</w:t>
            </w:r>
          </w:p>
          <w:p w14:paraId="2126FBCA">
            <w:pPr>
              <w:snapToGrid w:val="0"/>
              <w:contextualSpacing/>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标注“★”为实质性要求，如有负偏离视为未实质性响应作无效响应处理</w:t>
            </w:r>
            <w:r>
              <w:rPr>
                <w:rFonts w:hint="eastAsia" w:ascii="宋体" w:hAnsi="宋体" w:eastAsia="宋体" w:cs="宋体"/>
                <w:kern w:val="0"/>
                <w:sz w:val="24"/>
                <w:szCs w:val="24"/>
                <w:lang w:eastAsia="zh-CN"/>
              </w:rPr>
              <w:t>。</w:t>
            </w:r>
          </w:p>
          <w:p w14:paraId="4A0E895E">
            <w:pPr>
              <w:snapToGrid w:val="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标注“▲”的为重要指标，“▲”项负偏离的，每项扣</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p w14:paraId="008E7408">
            <w:pPr>
              <w:snapToGrid w:val="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非“▲”负偏离的，每项扣0.</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分；扣完为止。</w:t>
            </w:r>
          </w:p>
          <w:p w14:paraId="4BAE2D7D">
            <w:pPr>
              <w:snapToGrid w:val="0"/>
              <w:contextualSpacing/>
              <w:jc w:val="left"/>
              <w:rPr>
                <w:rFonts w:hint="default" w:ascii="宋体" w:hAnsi="宋体" w:eastAsia="宋体" w:cs="宋体"/>
                <w:sz w:val="24"/>
                <w:szCs w:val="24"/>
                <w:lang w:val="en-US" w:eastAsia="zh-CN"/>
              </w:rPr>
            </w:pPr>
            <w:r>
              <w:rPr>
                <w:rFonts w:hint="eastAsia" w:ascii="宋体" w:hAnsi="宋体" w:eastAsia="宋体" w:cs="宋体"/>
                <w:kern w:val="0"/>
                <w:sz w:val="24"/>
                <w:szCs w:val="24"/>
              </w:rPr>
              <w:t>注：未在《</w:t>
            </w: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rPr>
              <w:t>技术</w:t>
            </w:r>
            <w:r>
              <w:rPr>
                <w:rFonts w:hint="eastAsia" w:ascii="宋体" w:hAnsi="宋体" w:eastAsia="宋体" w:cs="宋体"/>
                <w:kern w:val="0"/>
                <w:sz w:val="24"/>
                <w:szCs w:val="24"/>
                <w:lang w:val="en-US" w:eastAsia="zh-CN"/>
              </w:rPr>
              <w:t>参数</w:t>
            </w:r>
            <w:r>
              <w:rPr>
                <w:rFonts w:hint="eastAsia" w:ascii="宋体" w:hAnsi="宋体" w:eastAsia="宋体" w:cs="宋体"/>
                <w:kern w:val="0"/>
                <w:sz w:val="24"/>
                <w:szCs w:val="24"/>
              </w:rPr>
              <w:t>》中响应的条款，视同负偏离；要求提供佐证材料的指标必须提供相应的有效证明材料，如未附有效证明材料或者所附的证明材料由评标委员会认为不能佐证技术指标的有效性的，则同样视为负偏离。</w:t>
            </w:r>
          </w:p>
        </w:tc>
      </w:tr>
      <w:tr w14:paraId="690D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602" w:type="dxa"/>
            <w:vAlign w:val="center"/>
          </w:tcPr>
          <w:p w14:paraId="1AD6E65F">
            <w:pPr>
              <w:jc w:val="center"/>
              <w:rPr>
                <w:rFonts w:ascii="宋体" w:hAnsi="宋体" w:eastAsia="宋体" w:cs="宋体"/>
                <w:sz w:val="24"/>
                <w:szCs w:val="24"/>
              </w:rPr>
            </w:pPr>
            <w:r>
              <w:rPr>
                <w:rFonts w:hint="eastAsia" w:ascii="宋体" w:hAnsi="宋体" w:eastAsia="宋体" w:cs="宋体"/>
                <w:sz w:val="24"/>
                <w:szCs w:val="24"/>
              </w:rPr>
              <w:t>2</w:t>
            </w:r>
          </w:p>
        </w:tc>
        <w:tc>
          <w:tcPr>
            <w:tcW w:w="1354" w:type="dxa"/>
            <w:vAlign w:val="center"/>
          </w:tcPr>
          <w:p w14:paraId="0A670AF0">
            <w:pPr>
              <w:jc w:val="center"/>
              <w:rPr>
                <w:rFonts w:ascii="宋体" w:hAnsi="宋体" w:eastAsia="宋体" w:cs="宋体"/>
                <w:sz w:val="24"/>
                <w:szCs w:val="24"/>
              </w:rPr>
            </w:pPr>
            <w:r>
              <w:rPr>
                <w:rFonts w:hint="eastAsia" w:ascii="宋体" w:hAnsi="宋体" w:eastAsia="宋体" w:cs="宋体"/>
                <w:sz w:val="24"/>
                <w:szCs w:val="24"/>
              </w:rPr>
              <w:t>业绩</w:t>
            </w:r>
          </w:p>
        </w:tc>
        <w:tc>
          <w:tcPr>
            <w:tcW w:w="880" w:type="dxa"/>
            <w:vAlign w:val="center"/>
          </w:tcPr>
          <w:p w14:paraId="7535C6E8">
            <w:pPr>
              <w:snapToGrid w:val="0"/>
              <w:contextualSpacing/>
              <w:jc w:val="center"/>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6690" w:type="dxa"/>
          </w:tcPr>
          <w:p w14:paraId="52FF19BD">
            <w:pPr>
              <w:snapToGrid w:val="0"/>
              <w:contextualSpacing/>
              <w:jc w:val="left"/>
              <w:rPr>
                <w:rFonts w:ascii="宋体" w:hAnsi="宋体" w:eastAsia="宋体" w:cs="宋体"/>
                <w:sz w:val="24"/>
                <w:szCs w:val="24"/>
              </w:rPr>
            </w:pPr>
            <w:r>
              <w:rPr>
                <w:rFonts w:hint="eastAsia" w:ascii="宋体" w:hAnsi="宋体" w:eastAsia="宋体" w:cs="宋体"/>
                <w:sz w:val="24"/>
                <w:szCs w:val="24"/>
              </w:rPr>
              <w:t>自2021年1月1日以来（以合同签订日期为准），响应供应商具有类似道闸系统业绩的，每提供1个业绩得</w:t>
            </w:r>
            <w:r>
              <w:rPr>
                <w:rFonts w:hint="eastAsia" w:ascii="宋体" w:hAnsi="宋体" w:eastAsia="宋体" w:cs="宋体"/>
                <w:sz w:val="24"/>
                <w:szCs w:val="24"/>
                <w:lang w:val="en-US" w:eastAsia="zh-CN"/>
              </w:rPr>
              <w:t>3</w:t>
            </w:r>
            <w:r>
              <w:rPr>
                <w:rFonts w:hint="eastAsia" w:ascii="宋体" w:hAnsi="宋体" w:eastAsia="宋体" w:cs="宋体"/>
                <w:sz w:val="24"/>
                <w:szCs w:val="24"/>
              </w:rPr>
              <w:t>分，最多得</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p w14:paraId="6098137C">
            <w:pPr>
              <w:snapToGrid w:val="0"/>
              <w:contextualSpacing/>
              <w:jc w:val="left"/>
              <w:rPr>
                <w:rFonts w:ascii="宋体" w:hAnsi="宋体" w:eastAsia="宋体" w:cs="宋体"/>
                <w:sz w:val="24"/>
                <w:szCs w:val="24"/>
              </w:rPr>
            </w:pPr>
            <w:r>
              <w:rPr>
                <w:rFonts w:hint="eastAsia" w:ascii="宋体" w:hAnsi="宋体" w:eastAsia="宋体" w:cs="宋体"/>
                <w:b/>
                <w:bCs/>
                <w:sz w:val="24"/>
                <w:szCs w:val="24"/>
              </w:rPr>
              <w:t>注：提供完整合同的复印件并加盖公章，签订时间和签章须清晰可见。同一业主的业绩不得重复得分，合同原件备查，不提供</w:t>
            </w:r>
            <w:r>
              <w:rPr>
                <w:rFonts w:hint="eastAsia" w:ascii="宋体" w:hAnsi="宋体" w:eastAsia="宋体" w:cs="宋体"/>
                <w:b/>
                <w:bCs/>
                <w:sz w:val="24"/>
                <w:szCs w:val="24"/>
                <w:lang w:eastAsia="zh-CN"/>
              </w:rPr>
              <w:t>或合同不完整均</w:t>
            </w:r>
            <w:r>
              <w:rPr>
                <w:rFonts w:hint="eastAsia" w:ascii="宋体" w:hAnsi="宋体" w:eastAsia="宋体" w:cs="宋体"/>
                <w:b/>
                <w:bCs/>
                <w:sz w:val="24"/>
                <w:szCs w:val="24"/>
              </w:rPr>
              <w:t>不得分。</w:t>
            </w:r>
          </w:p>
        </w:tc>
      </w:tr>
      <w:tr w14:paraId="11FF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02" w:type="dxa"/>
            <w:vAlign w:val="center"/>
          </w:tcPr>
          <w:p w14:paraId="04BA2778">
            <w:pPr>
              <w:jc w:val="center"/>
              <w:rPr>
                <w:rFonts w:ascii="宋体" w:hAnsi="宋体" w:eastAsia="宋体" w:cs="宋体"/>
                <w:sz w:val="24"/>
                <w:szCs w:val="24"/>
              </w:rPr>
            </w:pPr>
            <w:r>
              <w:rPr>
                <w:rFonts w:hint="eastAsia" w:ascii="宋体" w:hAnsi="宋体" w:eastAsia="宋体" w:cs="宋体"/>
                <w:sz w:val="24"/>
                <w:szCs w:val="24"/>
              </w:rPr>
              <w:t>3</w:t>
            </w:r>
          </w:p>
        </w:tc>
        <w:tc>
          <w:tcPr>
            <w:tcW w:w="1354" w:type="dxa"/>
            <w:vAlign w:val="center"/>
          </w:tcPr>
          <w:p w14:paraId="0BC825E4">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投标响应单位认证/</w:t>
            </w:r>
            <w:r>
              <w:rPr>
                <w:rFonts w:hint="eastAsia" w:ascii="宋体" w:hAnsi="宋体" w:eastAsia="宋体" w:cs="宋体"/>
                <w:color w:val="000000"/>
                <w:kern w:val="0"/>
                <w:sz w:val="24"/>
                <w:szCs w:val="24"/>
              </w:rPr>
              <w:t>资质</w:t>
            </w:r>
          </w:p>
        </w:tc>
        <w:tc>
          <w:tcPr>
            <w:tcW w:w="880" w:type="dxa"/>
            <w:vAlign w:val="center"/>
          </w:tcPr>
          <w:p w14:paraId="33158AAC">
            <w:pPr>
              <w:snapToGrid w:val="0"/>
              <w:contextualSpacing/>
              <w:jc w:val="center"/>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6690" w:type="dxa"/>
          </w:tcPr>
          <w:p w14:paraId="437D4F66">
            <w:pPr>
              <w:snapToGrid w:val="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1.投标人具有ISO20000信息技术服务管理体系认证证书得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分，不提供不得分（提供有效的证书复印件，加盖投标人公章）</w:t>
            </w:r>
          </w:p>
          <w:p w14:paraId="4BE0A07A">
            <w:pPr>
              <w:snapToGrid w:val="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2.投标人具有ISO27001信息安全管理体系认证证书得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分，不提供不得分（提供有效的证书复印件，加盖投标人公章）。</w:t>
            </w:r>
          </w:p>
          <w:p w14:paraId="79C98A66">
            <w:pPr>
              <w:snapToGrid w:val="0"/>
              <w:contextualSpacing/>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3.投标人具有符合 GB/T 27922-2011标准规定的五星级售后服务认证</w:t>
            </w:r>
            <w:r>
              <w:rPr>
                <w:rFonts w:hint="eastAsia" w:ascii="宋体" w:hAnsi="宋体" w:eastAsia="宋体" w:cs="宋体"/>
                <w:kern w:val="0"/>
                <w:sz w:val="24"/>
                <w:szCs w:val="24"/>
              </w:rPr>
              <w:t>证书得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分，不提供不得分（提供有效的证书复印件，加盖投标人公章）</w:t>
            </w:r>
          </w:p>
        </w:tc>
      </w:tr>
      <w:tr w14:paraId="4CA6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02" w:type="dxa"/>
            <w:vAlign w:val="center"/>
          </w:tcPr>
          <w:p w14:paraId="253041A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54" w:type="dxa"/>
            <w:vAlign w:val="center"/>
          </w:tcPr>
          <w:p w14:paraId="39813E4B">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项目组成员实力</w:t>
            </w:r>
          </w:p>
        </w:tc>
        <w:tc>
          <w:tcPr>
            <w:tcW w:w="880" w:type="dxa"/>
            <w:vAlign w:val="center"/>
          </w:tcPr>
          <w:p w14:paraId="215E43C2">
            <w:pPr>
              <w:snapToGrid w:val="0"/>
              <w:contextualSpacing/>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6690" w:type="dxa"/>
          </w:tcPr>
          <w:p w14:paraId="72524958">
            <w:pPr>
              <w:snapToGrid w:val="0"/>
              <w:contextualSpacing/>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rPr>
              <w:t>供应商拟投入该项目的项目组成员具有机电工程二级及以上注册建造师、系统集成项目管理工程师、网络工程师</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中级及以上工程师（机电工程类、建筑工程类、电气工程类以及电子信息工程类）职称的，每提供以上一种证书得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分（同类证书不重复得分），最高得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分，不提供不得分。（须出具有效证书复印件及供应商为上述人员缴纳的2025年2月到2025年</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月任意一个月的社保缴纳证明，加盖公章）</w:t>
            </w:r>
          </w:p>
        </w:tc>
      </w:tr>
      <w:tr w14:paraId="06B8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02" w:type="dxa"/>
            <w:vAlign w:val="center"/>
          </w:tcPr>
          <w:p w14:paraId="3A819428">
            <w:pPr>
              <w:jc w:val="center"/>
              <w:rPr>
                <w:rFonts w:ascii="宋体" w:hAnsi="宋体" w:eastAsia="宋体" w:cs="宋体"/>
                <w:sz w:val="24"/>
                <w:szCs w:val="24"/>
              </w:rPr>
            </w:pPr>
            <w:r>
              <w:rPr>
                <w:rFonts w:hint="eastAsia" w:ascii="宋体" w:hAnsi="宋体" w:eastAsia="宋体" w:cs="宋体"/>
                <w:sz w:val="24"/>
                <w:szCs w:val="24"/>
              </w:rPr>
              <w:t>4</w:t>
            </w:r>
          </w:p>
        </w:tc>
        <w:tc>
          <w:tcPr>
            <w:tcW w:w="1354" w:type="dxa"/>
            <w:vAlign w:val="center"/>
          </w:tcPr>
          <w:p w14:paraId="5806E2B1">
            <w:pPr>
              <w:jc w:val="center"/>
              <w:rPr>
                <w:rFonts w:ascii="宋体" w:hAnsi="宋体" w:eastAsia="宋体" w:cs="宋体"/>
                <w:sz w:val="24"/>
                <w:szCs w:val="24"/>
              </w:rPr>
            </w:pPr>
            <w:r>
              <w:rPr>
                <w:rFonts w:hint="eastAsia" w:ascii="宋体" w:hAnsi="宋体" w:eastAsia="宋体" w:cs="宋体"/>
                <w:color w:val="000000"/>
                <w:kern w:val="0"/>
                <w:sz w:val="24"/>
                <w:szCs w:val="24"/>
              </w:rPr>
              <w:t>实施方案</w:t>
            </w:r>
          </w:p>
        </w:tc>
        <w:tc>
          <w:tcPr>
            <w:tcW w:w="880" w:type="dxa"/>
            <w:vAlign w:val="center"/>
          </w:tcPr>
          <w:p w14:paraId="19E0025D">
            <w:pPr>
              <w:snapToGrid w:val="0"/>
              <w:contextualSpacing/>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w:t>
            </w:r>
            <w:r>
              <w:rPr>
                <w:rFonts w:hint="eastAsia" w:ascii="宋体" w:hAnsi="宋体" w:eastAsia="宋体" w:cs="宋体"/>
                <w:sz w:val="24"/>
                <w:szCs w:val="24"/>
              </w:rPr>
              <w:t>分</w:t>
            </w:r>
          </w:p>
        </w:tc>
        <w:tc>
          <w:tcPr>
            <w:tcW w:w="6690" w:type="dxa"/>
          </w:tcPr>
          <w:p w14:paraId="3BFF7B42">
            <w:pPr>
              <w:snapToGrid w:val="0"/>
              <w:contextualSpacing/>
              <w:jc w:val="left"/>
              <w:rPr>
                <w:rFonts w:ascii="宋体" w:hAnsi="宋体" w:eastAsia="宋体" w:cs="宋体"/>
                <w:kern w:val="0"/>
                <w:sz w:val="24"/>
                <w:szCs w:val="24"/>
              </w:rPr>
            </w:pPr>
            <w:r>
              <w:rPr>
                <w:rFonts w:hint="eastAsia" w:ascii="宋体" w:hAnsi="宋体" w:eastAsia="宋体" w:cs="宋体"/>
                <w:kern w:val="0"/>
                <w:sz w:val="24"/>
                <w:szCs w:val="24"/>
              </w:rPr>
              <w:t>根据响应供应商针对项目制定的施工进度计划、质量保证措施、现场文明工地安全措施、环境保护措施、雨季施工措施、台风期施工防护措施及消防保证措施情况的相关方案进行评价：</w:t>
            </w:r>
          </w:p>
          <w:p w14:paraId="6D084556">
            <w:pPr>
              <w:snapToGrid w:val="0"/>
              <w:contextualSpacing/>
              <w:jc w:val="left"/>
              <w:rPr>
                <w:rFonts w:ascii="宋体" w:hAnsi="宋体" w:eastAsia="宋体" w:cs="宋体"/>
                <w:kern w:val="0"/>
                <w:sz w:val="24"/>
                <w:szCs w:val="24"/>
              </w:rPr>
            </w:pPr>
            <w:r>
              <w:rPr>
                <w:rFonts w:hint="eastAsia" w:ascii="宋体" w:hAnsi="宋体" w:eastAsia="宋体" w:cs="宋体"/>
                <w:b/>
                <w:bCs/>
                <w:kern w:val="0"/>
                <w:sz w:val="24"/>
                <w:szCs w:val="24"/>
              </w:rPr>
              <w:t>优：</w:t>
            </w:r>
            <w:r>
              <w:rPr>
                <w:rFonts w:hint="eastAsia" w:ascii="宋体" w:hAnsi="宋体" w:eastAsia="宋体" w:cs="宋体"/>
                <w:kern w:val="0"/>
                <w:sz w:val="24"/>
                <w:szCs w:val="24"/>
              </w:rPr>
              <w:t>方案详细，完全涵盖实施方案要求包含的内容，科学合理，针对性强，高度贴合本项目需求，可行性高的，得</w:t>
            </w:r>
            <w:r>
              <w:rPr>
                <w:rFonts w:ascii="宋体" w:hAnsi="宋体" w:eastAsia="宋体" w:cs="宋体"/>
                <w:kern w:val="0"/>
                <w:sz w:val="24"/>
                <w:szCs w:val="24"/>
              </w:rPr>
              <w:t>10</w:t>
            </w:r>
            <w:r>
              <w:rPr>
                <w:rFonts w:hint="eastAsia" w:ascii="宋体" w:hAnsi="宋体" w:eastAsia="宋体" w:cs="宋体"/>
                <w:kern w:val="0"/>
                <w:sz w:val="24"/>
                <w:szCs w:val="24"/>
              </w:rPr>
              <w:t>分；</w:t>
            </w:r>
          </w:p>
          <w:p w14:paraId="37CC1C4C">
            <w:pPr>
              <w:snapToGrid w:val="0"/>
              <w:contextualSpacing/>
              <w:jc w:val="left"/>
              <w:rPr>
                <w:rFonts w:ascii="宋体" w:hAnsi="宋体" w:eastAsia="宋体" w:cs="宋体"/>
                <w:kern w:val="0"/>
                <w:sz w:val="24"/>
                <w:szCs w:val="24"/>
              </w:rPr>
            </w:pPr>
            <w:r>
              <w:rPr>
                <w:rFonts w:hint="eastAsia" w:ascii="宋体" w:hAnsi="宋体" w:eastAsia="宋体" w:cs="宋体"/>
                <w:b/>
                <w:bCs/>
                <w:kern w:val="0"/>
                <w:sz w:val="24"/>
                <w:szCs w:val="24"/>
              </w:rPr>
              <w:t>良：</w:t>
            </w:r>
            <w:r>
              <w:rPr>
                <w:rFonts w:hint="eastAsia" w:ascii="宋体" w:hAnsi="宋体" w:eastAsia="宋体" w:cs="宋体"/>
                <w:kern w:val="0"/>
                <w:sz w:val="24"/>
                <w:szCs w:val="24"/>
              </w:rPr>
              <w:t>方案较详细，涵盖实施方案要求包含的内容，内容较合理，针对性较强，基本贴合本项目需求，可行性较高的，得</w:t>
            </w:r>
            <w:r>
              <w:rPr>
                <w:rFonts w:ascii="宋体" w:hAnsi="宋体" w:eastAsia="宋体" w:cs="宋体"/>
                <w:kern w:val="0"/>
                <w:sz w:val="24"/>
                <w:szCs w:val="24"/>
              </w:rPr>
              <w:t>7</w:t>
            </w:r>
            <w:r>
              <w:rPr>
                <w:rFonts w:hint="eastAsia" w:ascii="宋体" w:hAnsi="宋体" w:eastAsia="宋体" w:cs="宋体"/>
                <w:kern w:val="0"/>
                <w:sz w:val="24"/>
                <w:szCs w:val="24"/>
              </w:rPr>
              <w:t>分；</w:t>
            </w:r>
          </w:p>
          <w:p w14:paraId="0C6AE699">
            <w:pPr>
              <w:snapToGrid w:val="0"/>
              <w:contextualSpacing/>
              <w:jc w:val="left"/>
              <w:rPr>
                <w:rFonts w:ascii="宋体" w:hAnsi="宋体" w:eastAsia="宋体" w:cs="宋体"/>
                <w:kern w:val="0"/>
                <w:sz w:val="24"/>
                <w:szCs w:val="24"/>
              </w:rPr>
            </w:pPr>
            <w:r>
              <w:rPr>
                <w:rFonts w:hint="eastAsia" w:ascii="宋体" w:hAnsi="宋体" w:eastAsia="宋体" w:cs="宋体"/>
                <w:b/>
                <w:bCs/>
                <w:kern w:val="0"/>
                <w:sz w:val="24"/>
                <w:szCs w:val="24"/>
              </w:rPr>
              <w:t>中：</w:t>
            </w:r>
            <w:r>
              <w:rPr>
                <w:rFonts w:hint="eastAsia" w:ascii="宋体" w:hAnsi="宋体" w:eastAsia="宋体" w:cs="宋体"/>
                <w:kern w:val="0"/>
                <w:sz w:val="24"/>
                <w:szCs w:val="24"/>
              </w:rPr>
              <w:t>方案较详细，基本涵盖实施方案要求包含的内容，内容合理性有待提升，针对性一般，与本项目需求贴合度一般，可行性一般的，得</w:t>
            </w:r>
            <w:r>
              <w:rPr>
                <w:rFonts w:ascii="宋体" w:hAnsi="宋体" w:eastAsia="宋体" w:cs="宋体"/>
                <w:kern w:val="0"/>
                <w:sz w:val="24"/>
                <w:szCs w:val="24"/>
              </w:rPr>
              <w:t>4</w:t>
            </w:r>
            <w:r>
              <w:rPr>
                <w:rFonts w:hint="eastAsia" w:ascii="宋体" w:hAnsi="宋体" w:eastAsia="宋体" w:cs="宋体"/>
                <w:kern w:val="0"/>
                <w:sz w:val="24"/>
                <w:szCs w:val="24"/>
              </w:rPr>
              <w:t>分；</w:t>
            </w:r>
          </w:p>
          <w:p w14:paraId="2D25E8A2">
            <w:pPr>
              <w:snapToGrid w:val="0"/>
              <w:contextualSpacing/>
              <w:jc w:val="left"/>
              <w:rPr>
                <w:rFonts w:ascii="宋体" w:hAnsi="宋体" w:eastAsia="宋体" w:cs="宋体"/>
                <w:kern w:val="0"/>
                <w:sz w:val="24"/>
                <w:szCs w:val="24"/>
              </w:rPr>
            </w:pPr>
            <w:r>
              <w:rPr>
                <w:rFonts w:hint="eastAsia" w:ascii="宋体" w:hAnsi="宋体" w:eastAsia="宋体" w:cs="宋体"/>
                <w:b/>
                <w:bCs/>
                <w:kern w:val="0"/>
                <w:sz w:val="24"/>
                <w:szCs w:val="24"/>
              </w:rPr>
              <w:t>差：</w:t>
            </w:r>
            <w:r>
              <w:rPr>
                <w:rFonts w:hint="eastAsia" w:ascii="宋体" w:hAnsi="宋体" w:eastAsia="宋体" w:cs="宋体"/>
                <w:kern w:val="0"/>
                <w:sz w:val="24"/>
                <w:szCs w:val="24"/>
              </w:rPr>
              <w:t>方案稀疏，不可靠，未能满足实施方案要求包含的所有内容，方案内容欠缺合理性、针对性，不贴合本项目需求，可行性差的，得</w:t>
            </w:r>
            <w:r>
              <w:rPr>
                <w:rFonts w:ascii="宋体" w:hAnsi="宋体" w:eastAsia="宋体" w:cs="宋体"/>
                <w:kern w:val="0"/>
                <w:sz w:val="24"/>
                <w:szCs w:val="24"/>
              </w:rPr>
              <w:t>1</w:t>
            </w:r>
            <w:r>
              <w:rPr>
                <w:rFonts w:hint="eastAsia" w:ascii="宋体" w:hAnsi="宋体" w:eastAsia="宋体" w:cs="宋体"/>
                <w:kern w:val="0"/>
                <w:sz w:val="24"/>
                <w:szCs w:val="24"/>
              </w:rPr>
              <w:t>分；</w:t>
            </w:r>
          </w:p>
          <w:p w14:paraId="4BBD84D3">
            <w:pPr>
              <w:snapToGrid w:val="0"/>
              <w:contextualSpacing/>
              <w:jc w:val="left"/>
              <w:rPr>
                <w:rFonts w:ascii="宋体" w:hAnsi="宋体" w:eastAsia="宋体" w:cs="宋体"/>
                <w:b/>
                <w:bCs/>
                <w:sz w:val="24"/>
                <w:szCs w:val="24"/>
              </w:rPr>
            </w:pPr>
            <w:r>
              <w:rPr>
                <w:rFonts w:hint="eastAsia" w:ascii="宋体" w:hAnsi="宋体" w:eastAsia="宋体" w:cs="宋体"/>
                <w:kern w:val="0"/>
                <w:sz w:val="24"/>
                <w:szCs w:val="24"/>
              </w:rPr>
              <w:t>未提供不得分。</w:t>
            </w:r>
          </w:p>
        </w:tc>
      </w:tr>
      <w:tr w14:paraId="3FDC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602" w:type="dxa"/>
            <w:vAlign w:val="center"/>
          </w:tcPr>
          <w:p w14:paraId="66BFA8AC">
            <w:pPr>
              <w:jc w:val="center"/>
              <w:rPr>
                <w:rFonts w:ascii="宋体" w:hAnsi="宋体" w:eastAsia="宋体" w:cs="宋体"/>
                <w:sz w:val="24"/>
                <w:szCs w:val="24"/>
              </w:rPr>
            </w:pPr>
            <w:r>
              <w:rPr>
                <w:rFonts w:hint="eastAsia" w:ascii="宋体" w:hAnsi="宋体" w:eastAsia="宋体" w:cs="宋体"/>
                <w:sz w:val="24"/>
                <w:szCs w:val="24"/>
              </w:rPr>
              <w:t>5</w:t>
            </w:r>
          </w:p>
        </w:tc>
        <w:tc>
          <w:tcPr>
            <w:tcW w:w="1354" w:type="dxa"/>
            <w:vAlign w:val="center"/>
          </w:tcPr>
          <w:p w14:paraId="18B014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售后维护</w:t>
            </w:r>
          </w:p>
          <w:p w14:paraId="1BD00D98">
            <w:pPr>
              <w:widowControl/>
              <w:jc w:val="center"/>
              <w:rPr>
                <w:rFonts w:ascii="宋体" w:hAnsi="宋体" w:eastAsia="宋体" w:cs="宋体"/>
                <w:sz w:val="24"/>
                <w:szCs w:val="24"/>
              </w:rPr>
            </w:pPr>
            <w:r>
              <w:rPr>
                <w:rFonts w:hint="eastAsia" w:ascii="宋体" w:hAnsi="宋体" w:eastAsia="宋体" w:cs="宋体"/>
                <w:color w:val="000000"/>
                <w:kern w:val="0"/>
                <w:sz w:val="24"/>
                <w:szCs w:val="24"/>
              </w:rPr>
              <w:t>方案</w:t>
            </w:r>
          </w:p>
        </w:tc>
        <w:tc>
          <w:tcPr>
            <w:tcW w:w="880" w:type="dxa"/>
            <w:vAlign w:val="center"/>
          </w:tcPr>
          <w:p w14:paraId="4C4B20C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宋体"/>
                <w:kern w:val="0"/>
                <w:sz w:val="24"/>
                <w:szCs w:val="24"/>
              </w:rPr>
              <w:t>分</w:t>
            </w:r>
          </w:p>
        </w:tc>
        <w:tc>
          <w:tcPr>
            <w:tcW w:w="6690" w:type="dxa"/>
          </w:tcPr>
          <w:p w14:paraId="544A413F">
            <w:pPr>
              <w:autoSpaceDE w:val="0"/>
              <w:autoSpaceDN w:val="0"/>
              <w:jc w:val="left"/>
              <w:rPr>
                <w:rFonts w:ascii="宋体" w:hAnsi="宋体" w:eastAsia="宋体" w:cs="宋体"/>
                <w:kern w:val="0"/>
                <w:sz w:val="24"/>
                <w:szCs w:val="24"/>
              </w:rPr>
            </w:pPr>
            <w:r>
              <w:rPr>
                <w:rFonts w:hint="eastAsia" w:ascii="宋体" w:hAnsi="宋体" w:eastAsia="宋体" w:cs="宋体"/>
                <w:kern w:val="0"/>
                <w:sz w:val="24"/>
                <w:szCs w:val="24"/>
              </w:rPr>
              <w:t>售后维护方案中须包含但不限于售后服务人员配备、质保方案、响应时间、备品备件替换供应及时、系统维护、突发事件应急预案等响应要素。</w:t>
            </w:r>
          </w:p>
          <w:p w14:paraId="3A6C29F3">
            <w:pPr>
              <w:autoSpaceDE w:val="0"/>
              <w:autoSpaceDN w:val="0"/>
              <w:jc w:val="left"/>
              <w:rPr>
                <w:rFonts w:ascii="宋体" w:hAnsi="宋体" w:eastAsia="宋体" w:cs="宋体"/>
                <w:kern w:val="0"/>
                <w:sz w:val="24"/>
                <w:szCs w:val="24"/>
              </w:rPr>
            </w:pPr>
            <w:r>
              <w:rPr>
                <w:rFonts w:hint="eastAsia" w:ascii="宋体" w:hAnsi="宋体" w:eastAsia="宋体" w:cs="宋体"/>
                <w:kern w:val="0"/>
                <w:sz w:val="24"/>
                <w:szCs w:val="24"/>
              </w:rPr>
              <w:t>根据响应人售后及响应服务方案综合评分：</w:t>
            </w:r>
          </w:p>
          <w:p w14:paraId="25E8F0DD">
            <w:pPr>
              <w:autoSpaceDE w:val="0"/>
              <w:autoSpaceDN w:val="0"/>
              <w:jc w:val="left"/>
              <w:rPr>
                <w:rFonts w:ascii="宋体" w:hAnsi="宋体" w:eastAsia="宋体" w:cs="宋体"/>
                <w:kern w:val="0"/>
                <w:sz w:val="24"/>
                <w:szCs w:val="24"/>
              </w:rPr>
            </w:pPr>
            <w:r>
              <w:rPr>
                <w:rFonts w:hint="eastAsia" w:ascii="宋体" w:hAnsi="宋体" w:eastAsia="宋体" w:cs="宋体"/>
                <w:b/>
                <w:bCs/>
                <w:kern w:val="0"/>
                <w:sz w:val="24"/>
                <w:szCs w:val="24"/>
              </w:rPr>
              <w:t>优：</w:t>
            </w:r>
            <w:r>
              <w:rPr>
                <w:rFonts w:hint="eastAsia" w:ascii="宋体" w:hAnsi="宋体" w:eastAsia="宋体" w:cs="宋体"/>
                <w:kern w:val="0"/>
                <w:sz w:val="24"/>
                <w:szCs w:val="24"/>
              </w:rPr>
              <w:t>售后及响应服务方案内容详尽、高度贴合本项目具体情况，售后服务人员配置科学合理，质保方案优秀、响应时间快、备品备件替换供应完善，得</w:t>
            </w:r>
            <w:r>
              <w:rPr>
                <w:rFonts w:ascii="宋体" w:hAnsi="宋体" w:eastAsia="宋体" w:cs="宋体"/>
                <w:kern w:val="0"/>
                <w:sz w:val="24"/>
                <w:szCs w:val="24"/>
              </w:rPr>
              <w:t>10</w:t>
            </w:r>
            <w:r>
              <w:rPr>
                <w:rFonts w:hint="eastAsia" w:ascii="宋体" w:hAnsi="宋体" w:eastAsia="宋体" w:cs="宋体"/>
                <w:kern w:val="0"/>
                <w:sz w:val="24"/>
                <w:szCs w:val="24"/>
              </w:rPr>
              <w:t>分；</w:t>
            </w:r>
          </w:p>
          <w:p w14:paraId="0F5654B5">
            <w:pPr>
              <w:autoSpaceDE w:val="0"/>
              <w:autoSpaceDN w:val="0"/>
              <w:jc w:val="left"/>
              <w:rPr>
                <w:rFonts w:ascii="宋体" w:hAnsi="宋体" w:eastAsia="宋体" w:cs="宋体"/>
                <w:kern w:val="0"/>
                <w:sz w:val="24"/>
                <w:szCs w:val="24"/>
              </w:rPr>
            </w:pPr>
            <w:r>
              <w:rPr>
                <w:rFonts w:hint="eastAsia" w:ascii="宋体" w:hAnsi="宋体" w:eastAsia="宋体" w:cs="宋体"/>
                <w:b/>
                <w:bCs/>
                <w:kern w:val="0"/>
                <w:sz w:val="24"/>
                <w:szCs w:val="24"/>
              </w:rPr>
              <w:t>良：</w:t>
            </w:r>
            <w:r>
              <w:rPr>
                <w:rFonts w:hint="eastAsia" w:ascii="宋体" w:hAnsi="宋体" w:eastAsia="宋体" w:cs="宋体"/>
                <w:kern w:val="0"/>
                <w:sz w:val="24"/>
                <w:szCs w:val="24"/>
              </w:rPr>
              <w:t>售后及响应服务方案内容较详细、较贴合本项目具体情况，售后服务人员配置较科学合理，质保方案中等、响应时间较快、备品备件替换供应较完善，得</w:t>
            </w:r>
            <w:r>
              <w:rPr>
                <w:rFonts w:ascii="宋体" w:hAnsi="宋体" w:eastAsia="宋体" w:cs="宋体"/>
                <w:kern w:val="0"/>
                <w:sz w:val="24"/>
                <w:szCs w:val="24"/>
              </w:rPr>
              <w:t>7</w:t>
            </w:r>
            <w:r>
              <w:rPr>
                <w:rFonts w:hint="eastAsia" w:ascii="宋体" w:hAnsi="宋体" w:eastAsia="宋体" w:cs="宋体"/>
                <w:kern w:val="0"/>
                <w:sz w:val="24"/>
                <w:szCs w:val="24"/>
              </w:rPr>
              <w:t>分；</w:t>
            </w:r>
          </w:p>
          <w:p w14:paraId="71ECCF90">
            <w:pPr>
              <w:autoSpaceDE w:val="0"/>
              <w:autoSpaceDN w:val="0"/>
              <w:jc w:val="left"/>
              <w:rPr>
                <w:rFonts w:ascii="宋体" w:hAnsi="宋体" w:eastAsia="宋体" w:cs="宋体"/>
                <w:kern w:val="0"/>
                <w:sz w:val="24"/>
                <w:szCs w:val="24"/>
              </w:rPr>
            </w:pPr>
            <w:r>
              <w:rPr>
                <w:rFonts w:hint="eastAsia" w:ascii="宋体" w:hAnsi="宋体" w:eastAsia="宋体" w:cs="宋体"/>
                <w:b/>
                <w:bCs/>
                <w:kern w:val="0"/>
                <w:sz w:val="24"/>
                <w:szCs w:val="24"/>
              </w:rPr>
              <w:t>中：</w:t>
            </w:r>
            <w:r>
              <w:rPr>
                <w:rFonts w:hint="eastAsia" w:ascii="宋体" w:hAnsi="宋体" w:eastAsia="宋体" w:cs="宋体"/>
                <w:kern w:val="0"/>
                <w:sz w:val="24"/>
                <w:szCs w:val="24"/>
              </w:rPr>
              <w:t>售后及响应服务方案内容稀疏，售后服务人员配置欠缺合理性，质保方案较差、响应时间慢、备品备件替换供应尚需完善，得</w:t>
            </w:r>
            <w:r>
              <w:rPr>
                <w:rFonts w:ascii="宋体" w:hAnsi="宋体" w:eastAsia="宋体" w:cs="宋体"/>
                <w:kern w:val="0"/>
                <w:sz w:val="24"/>
                <w:szCs w:val="24"/>
              </w:rPr>
              <w:t>4</w:t>
            </w:r>
            <w:r>
              <w:rPr>
                <w:rFonts w:hint="eastAsia" w:ascii="宋体" w:hAnsi="宋体" w:eastAsia="宋体" w:cs="宋体"/>
                <w:kern w:val="0"/>
                <w:sz w:val="24"/>
                <w:szCs w:val="24"/>
              </w:rPr>
              <w:t>分；</w:t>
            </w:r>
          </w:p>
          <w:p w14:paraId="2BA97C9C">
            <w:pPr>
              <w:autoSpaceDE w:val="0"/>
              <w:autoSpaceDN w:val="0"/>
              <w:jc w:val="left"/>
              <w:rPr>
                <w:rFonts w:ascii="宋体" w:hAnsi="宋体" w:eastAsia="宋体" w:cs="宋体"/>
                <w:kern w:val="0"/>
                <w:sz w:val="24"/>
                <w:szCs w:val="24"/>
              </w:rPr>
            </w:pPr>
            <w:r>
              <w:rPr>
                <w:rFonts w:hint="eastAsia" w:ascii="宋体" w:hAnsi="宋体" w:eastAsia="宋体" w:cs="宋体"/>
                <w:b/>
                <w:bCs/>
                <w:kern w:val="0"/>
                <w:sz w:val="24"/>
                <w:szCs w:val="24"/>
              </w:rPr>
              <w:t>差：</w:t>
            </w:r>
            <w:r>
              <w:rPr>
                <w:rFonts w:hint="eastAsia" w:ascii="宋体" w:hAnsi="宋体" w:eastAsia="宋体" w:cs="宋体"/>
                <w:kern w:val="0"/>
                <w:sz w:val="24"/>
                <w:szCs w:val="24"/>
              </w:rPr>
              <w:t>售后及响应服务方案内容空泛，售后服务人员配置缺乏合理性，质保方案差、响应时间慢、备品备件替换供应不完善，得</w:t>
            </w:r>
            <w:r>
              <w:rPr>
                <w:rFonts w:ascii="宋体" w:hAnsi="宋体" w:eastAsia="宋体" w:cs="宋体"/>
                <w:kern w:val="0"/>
                <w:sz w:val="24"/>
                <w:szCs w:val="24"/>
              </w:rPr>
              <w:t>1</w:t>
            </w:r>
            <w:r>
              <w:rPr>
                <w:rFonts w:hint="eastAsia" w:ascii="宋体" w:hAnsi="宋体" w:eastAsia="宋体" w:cs="宋体"/>
                <w:kern w:val="0"/>
                <w:sz w:val="24"/>
                <w:szCs w:val="24"/>
              </w:rPr>
              <w:t>分；</w:t>
            </w:r>
          </w:p>
          <w:p w14:paraId="1A77E098">
            <w:pPr>
              <w:autoSpaceDE w:val="0"/>
              <w:autoSpaceDN w:val="0"/>
              <w:jc w:val="left"/>
              <w:rPr>
                <w:rFonts w:ascii="宋体" w:hAnsi="宋体" w:eastAsia="宋体" w:cs="宋体"/>
                <w:kern w:val="0"/>
                <w:sz w:val="24"/>
                <w:szCs w:val="24"/>
              </w:rPr>
            </w:pPr>
            <w:r>
              <w:rPr>
                <w:rFonts w:hint="eastAsia" w:ascii="宋体" w:hAnsi="宋体" w:eastAsia="宋体" w:cs="宋体"/>
                <w:kern w:val="0"/>
                <w:sz w:val="24"/>
                <w:szCs w:val="24"/>
              </w:rPr>
              <w:t>（供应商按照以上评审内容提供的方案须包括但不限于人员配备表、质保承诺、响应时间承诺、备品备件替换供应承诺等，未按要求提供售后及响应服务方案或承诺提供不全者不得分。）</w:t>
            </w:r>
          </w:p>
        </w:tc>
      </w:tr>
    </w:tbl>
    <w:p w14:paraId="4E49ABF2">
      <w:pPr>
        <w:spacing w:line="360" w:lineRule="auto"/>
        <w:ind w:firstLine="482" w:firstLineChars="200"/>
        <w:jc w:val="left"/>
        <w:rPr>
          <w:rFonts w:hint="eastAsia" w:eastAsia="宋体" w:cs="宋体"/>
          <w:b/>
          <w:color w:val="FF0000"/>
          <w:kern w:val="0"/>
          <w:sz w:val="24"/>
          <w:szCs w:val="24"/>
        </w:rPr>
      </w:pPr>
      <w:r>
        <w:rPr>
          <w:rFonts w:hint="eastAsia" w:eastAsia="宋体" w:cs="宋体"/>
          <w:b/>
          <w:color w:val="FF0000"/>
          <w:kern w:val="0"/>
          <w:sz w:val="24"/>
          <w:szCs w:val="24"/>
        </w:rPr>
        <w:t>注：响应供应商的技术部分得分低于总分的50%（即35分），将被视作缺乏竞争性，作无效响应处理。</w:t>
      </w:r>
    </w:p>
    <w:p w14:paraId="3E4BC185">
      <w:pPr>
        <w:pStyle w:val="7"/>
        <w:rPr>
          <w:rFonts w:hint="eastAsia"/>
        </w:rPr>
      </w:pPr>
    </w:p>
    <w:p w14:paraId="31516FD6">
      <w:pPr>
        <w:spacing w:line="360" w:lineRule="auto"/>
        <w:ind w:firstLine="480" w:firstLineChars="200"/>
        <w:jc w:val="left"/>
        <w:rPr>
          <w:rFonts w:eastAsia="宋体" w:cs="宋体"/>
          <w:kern w:val="0"/>
          <w:sz w:val="24"/>
          <w:szCs w:val="24"/>
        </w:rPr>
      </w:pPr>
      <w:r>
        <w:rPr>
          <w:rFonts w:hint="eastAsia" w:eastAsia="宋体" w:cs="宋体"/>
          <w:kern w:val="0"/>
          <w:sz w:val="24"/>
          <w:szCs w:val="24"/>
        </w:rPr>
        <w:t>商务部分评分</w:t>
      </w:r>
      <w:r>
        <w:rPr>
          <w:rFonts w:hint="eastAsia" w:eastAsia="宋体" w:cs="宋体"/>
          <w:kern w:val="0"/>
          <w:sz w:val="24"/>
          <w:szCs w:val="24"/>
          <w:lang w:val="en-US" w:eastAsia="zh-CN"/>
        </w:rPr>
        <w:t>细则</w:t>
      </w:r>
      <w:r>
        <w:rPr>
          <w:rFonts w:hint="eastAsia" w:eastAsia="宋体" w:cs="宋体"/>
          <w:kern w:val="0"/>
          <w:sz w:val="24"/>
          <w:szCs w:val="24"/>
        </w:rPr>
        <w:t>：30分</w:t>
      </w:r>
    </w:p>
    <w:p w14:paraId="2C0B9B6F">
      <w:pPr>
        <w:autoSpaceDE w:val="0"/>
        <w:autoSpaceDN w:val="0"/>
        <w:snapToGrid w:val="0"/>
        <w:spacing w:line="360" w:lineRule="auto"/>
        <w:ind w:firstLine="480" w:firstLineChars="200"/>
        <w:jc w:val="left"/>
        <w:rPr>
          <w:rFonts w:eastAsia="宋体" w:cs="宋体"/>
          <w:sz w:val="24"/>
          <w:szCs w:val="24"/>
        </w:rPr>
      </w:pPr>
      <w:r>
        <w:rPr>
          <w:rFonts w:hint="eastAsia" w:eastAsia="宋体" w:cs="宋体"/>
          <w:sz w:val="24"/>
          <w:szCs w:val="24"/>
        </w:rPr>
        <w:t>综合评分法中的价格分统一采用低价优先法计算，即满足比选文件要求且最后报价最低的供应商的价格为基准价，其价格分为满分30分。其他供应商的价格分统一按照下列公式计算：</w:t>
      </w:r>
    </w:p>
    <w:p w14:paraId="51D5F285">
      <w:pPr>
        <w:autoSpaceDE w:val="0"/>
        <w:autoSpaceDN w:val="0"/>
        <w:snapToGrid w:val="0"/>
        <w:spacing w:line="360" w:lineRule="auto"/>
        <w:ind w:firstLine="480" w:firstLineChars="200"/>
        <w:jc w:val="left"/>
        <w:rPr>
          <w:rFonts w:eastAsia="宋体" w:cs="宋体"/>
          <w:sz w:val="24"/>
          <w:szCs w:val="24"/>
        </w:rPr>
      </w:pPr>
      <w:r>
        <w:rPr>
          <w:rFonts w:hint="eastAsia" w:eastAsia="宋体" w:cs="宋体"/>
          <w:sz w:val="24"/>
          <w:szCs w:val="24"/>
        </w:rPr>
        <w:t>价格分=（基准价/比选报价）×30%×100</w:t>
      </w:r>
    </w:p>
    <w:bookmarkEnd w:id="0"/>
    <w:p w14:paraId="2D273F0F">
      <w:pPr>
        <w:snapToGrid w:val="0"/>
        <w:spacing w:line="360" w:lineRule="auto"/>
        <w:contextualSpacing/>
        <w:jc w:val="center"/>
        <w:rPr>
          <w:rFonts w:hint="eastAsia" w:eastAsia="宋体" w:cs="宋体"/>
          <w:b/>
          <w:sz w:val="24"/>
          <w:szCs w:val="24"/>
        </w:rPr>
      </w:pPr>
    </w:p>
    <w:p w14:paraId="2F3FE40B">
      <w:pPr>
        <w:snapToGrid w:val="0"/>
        <w:spacing w:line="360" w:lineRule="auto"/>
        <w:contextualSpacing/>
        <w:jc w:val="center"/>
        <w:rPr>
          <w:rFonts w:hint="eastAsia" w:eastAsia="宋体" w:cs="宋体"/>
          <w:b/>
          <w:sz w:val="24"/>
          <w:szCs w:val="24"/>
        </w:rPr>
      </w:pPr>
    </w:p>
    <w:p w14:paraId="744A3CDC">
      <w:pPr>
        <w:snapToGrid w:val="0"/>
        <w:spacing w:line="360" w:lineRule="auto"/>
        <w:contextualSpacing/>
        <w:jc w:val="center"/>
        <w:rPr>
          <w:rFonts w:hint="eastAsia" w:eastAsia="宋体" w:cs="宋体"/>
          <w:b/>
          <w:sz w:val="24"/>
          <w:szCs w:val="24"/>
        </w:rPr>
      </w:pPr>
    </w:p>
    <w:p w14:paraId="3AE2C1F4">
      <w:pPr>
        <w:snapToGrid w:val="0"/>
        <w:spacing w:line="360" w:lineRule="auto"/>
        <w:contextualSpacing/>
        <w:jc w:val="center"/>
        <w:rPr>
          <w:rFonts w:hint="eastAsia" w:eastAsia="宋体" w:cs="宋体"/>
          <w:b/>
          <w:sz w:val="24"/>
          <w:szCs w:val="24"/>
        </w:rPr>
      </w:pPr>
    </w:p>
    <w:p w14:paraId="13BAB058">
      <w:pPr>
        <w:snapToGrid w:val="0"/>
        <w:spacing w:line="360" w:lineRule="auto"/>
        <w:contextualSpacing/>
        <w:jc w:val="center"/>
        <w:rPr>
          <w:rFonts w:hint="eastAsia" w:eastAsia="宋体" w:cs="宋体"/>
          <w:b/>
          <w:sz w:val="24"/>
          <w:szCs w:val="24"/>
        </w:rPr>
      </w:pPr>
    </w:p>
    <w:p w14:paraId="1F68CA14">
      <w:pPr>
        <w:snapToGrid w:val="0"/>
        <w:spacing w:line="360" w:lineRule="auto"/>
        <w:ind w:firstLine="482" w:firstLineChars="200"/>
        <w:contextualSpacing/>
        <w:rPr>
          <w:rFonts w:hint="eastAsia" w:eastAsia="宋体" w:cs="宋体"/>
          <w:b/>
          <w:bCs/>
          <w:sz w:val="24"/>
          <w:szCs w:val="24"/>
        </w:rPr>
      </w:pPr>
    </w:p>
    <w:p w14:paraId="2B848DEA">
      <w:pPr>
        <w:snapToGrid w:val="0"/>
        <w:spacing w:line="360" w:lineRule="auto"/>
        <w:ind w:firstLine="480" w:firstLineChars="200"/>
        <w:contextualSpacing/>
        <w:rPr>
          <w:rFonts w:hint="eastAsia" w:eastAsia="宋体" w:cs="宋体"/>
          <w:sz w:val="24"/>
          <w:szCs w:val="24"/>
        </w:rPr>
      </w:pPr>
    </w:p>
    <w:p w14:paraId="5A88F24F">
      <w:pPr>
        <w:spacing w:line="360" w:lineRule="auto"/>
        <w:jc w:val="center"/>
        <w:rPr>
          <w:rFonts w:hint="eastAsia" w:ascii="仿宋" w:hAnsi="仿宋" w:eastAsia="仿宋" w:cs="Times New Roman"/>
          <w:b/>
          <w:sz w:val="44"/>
          <w:szCs w:val="44"/>
        </w:rPr>
        <w:sectPr>
          <w:pgSz w:w="11906" w:h="16838"/>
          <w:pgMar w:top="1440" w:right="1800" w:bottom="1440" w:left="1800" w:header="851" w:footer="992" w:gutter="0"/>
          <w:cols w:space="425" w:num="1"/>
          <w:docGrid w:type="lines" w:linePitch="312" w:charSpace="0"/>
        </w:sectPr>
      </w:pPr>
    </w:p>
    <w:p w14:paraId="25194090">
      <w:pPr>
        <w:spacing w:line="360" w:lineRule="auto"/>
        <w:jc w:val="center"/>
        <w:rPr>
          <w:rFonts w:hint="eastAsia" w:ascii="仿宋" w:hAnsi="仿宋" w:eastAsia="仿宋" w:cs="Times New Roman"/>
          <w:b/>
          <w:sz w:val="44"/>
          <w:szCs w:val="44"/>
          <w:lang w:eastAsia="zh-CN"/>
        </w:rPr>
      </w:pPr>
      <w:r>
        <w:rPr>
          <w:rFonts w:hint="eastAsia" w:ascii="仿宋" w:hAnsi="仿宋" w:eastAsia="仿宋" w:cs="Times New Roman"/>
          <w:b/>
          <w:sz w:val="44"/>
          <w:szCs w:val="44"/>
        </w:rPr>
        <w:t>报价</w:t>
      </w:r>
      <w:r>
        <w:rPr>
          <w:rFonts w:ascii="仿宋" w:hAnsi="仿宋" w:eastAsia="仿宋" w:cs="Times New Roman"/>
          <w:b/>
          <w:sz w:val="44"/>
          <w:szCs w:val="44"/>
        </w:rPr>
        <w:t>表</w:t>
      </w:r>
    </w:p>
    <w:p w14:paraId="5A2FC2A1">
      <w:pPr>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w:t>
      </w:r>
      <w:r>
        <w:rPr>
          <w:rFonts w:ascii="仿宋" w:hAnsi="仿宋" w:eastAsia="仿宋" w:cs="Times New Roman"/>
          <w:sz w:val="28"/>
          <w:szCs w:val="28"/>
        </w:rPr>
        <w:t>日期：</w:t>
      </w:r>
      <w:r>
        <w:rPr>
          <w:rFonts w:hint="eastAsia" w:ascii="仿宋" w:hAnsi="仿宋" w:eastAsia="仿宋" w:cs="Times New Roman"/>
          <w:sz w:val="28"/>
          <w:szCs w:val="28"/>
        </w:rPr>
        <w:t xml:space="preserve">   年   月  日</w:t>
      </w:r>
    </w:p>
    <w:tbl>
      <w:tblPr>
        <w:tblStyle w:val="8"/>
        <w:tblW w:w="8921" w:type="dxa"/>
        <w:tblInd w:w="0" w:type="dxa"/>
        <w:tblLayout w:type="fixed"/>
        <w:tblCellMar>
          <w:top w:w="0" w:type="dxa"/>
          <w:left w:w="108" w:type="dxa"/>
          <w:bottom w:w="0" w:type="dxa"/>
          <w:right w:w="108" w:type="dxa"/>
        </w:tblCellMar>
      </w:tblPr>
      <w:tblGrid>
        <w:gridCol w:w="2442"/>
        <w:gridCol w:w="742"/>
        <w:gridCol w:w="1201"/>
        <w:gridCol w:w="1526"/>
        <w:gridCol w:w="742"/>
        <w:gridCol w:w="717"/>
        <w:gridCol w:w="818"/>
        <w:gridCol w:w="733"/>
      </w:tblGrid>
      <w:tr w14:paraId="0FB8D884">
        <w:tblPrEx>
          <w:tblCellMar>
            <w:top w:w="0" w:type="dxa"/>
            <w:left w:w="108" w:type="dxa"/>
            <w:bottom w:w="0" w:type="dxa"/>
            <w:right w:w="108" w:type="dxa"/>
          </w:tblCellMar>
        </w:tblPrEx>
        <w:trPr>
          <w:trHeight w:val="540" w:hRule="atLeast"/>
        </w:trPr>
        <w:tc>
          <w:tcPr>
            <w:tcW w:w="2442" w:type="dxa"/>
            <w:tcBorders>
              <w:top w:val="single" w:color="000000" w:sz="8" w:space="0"/>
              <w:left w:val="single" w:color="000000" w:sz="8" w:space="0"/>
              <w:bottom w:val="single" w:color="000000" w:sz="8" w:space="0"/>
              <w:right w:val="single" w:color="auto" w:sz="8" w:space="0"/>
            </w:tcBorders>
            <w:noWrap/>
            <w:vAlign w:val="center"/>
          </w:tcPr>
          <w:p w14:paraId="2DE19F82">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r>
              <w:rPr>
                <w:rFonts w:ascii="仿宋" w:hAnsi="仿宋" w:eastAsia="仿宋" w:cs="宋体"/>
                <w:b/>
                <w:bCs/>
                <w:kern w:val="0"/>
                <w:sz w:val="24"/>
                <w:szCs w:val="24"/>
              </w:rPr>
              <w:t>名称</w:t>
            </w:r>
          </w:p>
        </w:tc>
        <w:tc>
          <w:tcPr>
            <w:tcW w:w="6479" w:type="dxa"/>
            <w:gridSpan w:val="7"/>
            <w:tcBorders>
              <w:top w:val="single" w:color="auto" w:sz="8" w:space="0"/>
              <w:left w:val="nil"/>
              <w:bottom w:val="single" w:color="auto" w:sz="8" w:space="0"/>
              <w:right w:val="single" w:color="auto" w:sz="8" w:space="0"/>
            </w:tcBorders>
            <w:noWrap w:val="0"/>
            <w:vAlign w:val="center"/>
          </w:tcPr>
          <w:p w14:paraId="589F2F77">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Times New Roman"/>
                <w:sz w:val="28"/>
                <w:szCs w:val="28"/>
              </w:rPr>
              <w:t>南通市</w:t>
            </w:r>
            <w:r>
              <w:rPr>
                <w:rFonts w:ascii="仿宋" w:hAnsi="仿宋" w:eastAsia="仿宋" w:cs="Times New Roman"/>
                <w:sz w:val="28"/>
                <w:szCs w:val="28"/>
              </w:rPr>
              <w:t>第二人民</w:t>
            </w:r>
            <w:r>
              <w:rPr>
                <w:rFonts w:hint="eastAsia" w:ascii="仿宋" w:hAnsi="仿宋" w:eastAsia="仿宋" w:cs="Times New Roman"/>
                <w:sz w:val="28"/>
                <w:szCs w:val="28"/>
              </w:rPr>
              <w:t>医院</w:t>
            </w:r>
            <w:r>
              <w:rPr>
                <w:rFonts w:hint="eastAsia" w:ascii="仿宋" w:hAnsi="仿宋" w:eastAsia="仿宋" w:cs="Times New Roman"/>
                <w:sz w:val="28"/>
                <w:szCs w:val="28"/>
                <w:lang w:val="en-US" w:eastAsia="zh-CN"/>
              </w:rPr>
              <w:t>停车场道闸系统升级改造</w:t>
            </w:r>
            <w:r>
              <w:rPr>
                <w:rFonts w:hint="eastAsia" w:ascii="仿宋" w:hAnsi="仿宋" w:eastAsia="仿宋" w:cs="Times New Roman"/>
                <w:sz w:val="28"/>
                <w:szCs w:val="28"/>
              </w:rPr>
              <w:t>项目</w:t>
            </w:r>
          </w:p>
        </w:tc>
      </w:tr>
      <w:tr w14:paraId="283E0947">
        <w:tblPrEx>
          <w:tblCellMar>
            <w:top w:w="0" w:type="dxa"/>
            <w:left w:w="108" w:type="dxa"/>
            <w:bottom w:w="0" w:type="dxa"/>
            <w:right w:w="108" w:type="dxa"/>
          </w:tblCellMar>
        </w:tblPrEx>
        <w:trPr>
          <w:trHeight w:val="1293" w:hRule="atLeast"/>
        </w:trPr>
        <w:tc>
          <w:tcPr>
            <w:tcW w:w="2442" w:type="dxa"/>
            <w:tcBorders>
              <w:top w:val="single" w:color="000000" w:sz="8" w:space="0"/>
              <w:left w:val="single" w:color="000000" w:sz="8" w:space="0"/>
              <w:bottom w:val="single" w:color="000000" w:sz="8" w:space="0"/>
              <w:right w:val="single" w:color="auto" w:sz="8" w:space="0"/>
            </w:tcBorders>
            <w:noWrap/>
            <w:vAlign w:val="center"/>
          </w:tcPr>
          <w:p w14:paraId="09E274A3">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公司全称</w:t>
            </w:r>
            <w:r>
              <w:rPr>
                <w:rFonts w:ascii="仿宋" w:hAnsi="仿宋" w:eastAsia="仿宋" w:cs="宋体"/>
                <w:b/>
                <w:bCs/>
                <w:kern w:val="0"/>
                <w:sz w:val="24"/>
                <w:szCs w:val="24"/>
              </w:rPr>
              <w:t>（</w:t>
            </w:r>
            <w:r>
              <w:rPr>
                <w:rFonts w:hint="eastAsia" w:ascii="仿宋" w:hAnsi="仿宋" w:eastAsia="仿宋" w:cs="宋体"/>
                <w:b/>
                <w:bCs/>
                <w:kern w:val="0"/>
                <w:sz w:val="24"/>
                <w:szCs w:val="24"/>
              </w:rPr>
              <w:t>盖章</w:t>
            </w:r>
            <w:r>
              <w:rPr>
                <w:rFonts w:ascii="仿宋" w:hAnsi="仿宋" w:eastAsia="仿宋" w:cs="宋体"/>
                <w:b/>
                <w:bCs/>
                <w:kern w:val="0"/>
                <w:sz w:val="24"/>
                <w:szCs w:val="24"/>
              </w:rPr>
              <w:t>）</w:t>
            </w:r>
          </w:p>
        </w:tc>
        <w:tc>
          <w:tcPr>
            <w:tcW w:w="6479" w:type="dxa"/>
            <w:gridSpan w:val="7"/>
            <w:tcBorders>
              <w:top w:val="single" w:color="auto" w:sz="8" w:space="0"/>
              <w:left w:val="nil"/>
              <w:bottom w:val="single" w:color="auto" w:sz="8" w:space="0"/>
              <w:right w:val="single" w:color="auto" w:sz="8" w:space="0"/>
            </w:tcBorders>
            <w:noWrap w:val="0"/>
            <w:vAlign w:val="center"/>
          </w:tcPr>
          <w:p w14:paraId="318390D1">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p>
        </w:tc>
      </w:tr>
      <w:tr w14:paraId="6FF0D50C">
        <w:tblPrEx>
          <w:tblCellMar>
            <w:top w:w="0" w:type="dxa"/>
            <w:left w:w="108" w:type="dxa"/>
            <w:bottom w:w="0" w:type="dxa"/>
            <w:right w:w="108" w:type="dxa"/>
          </w:tblCellMar>
        </w:tblPrEx>
        <w:trPr>
          <w:trHeight w:val="540" w:hRule="atLeast"/>
        </w:trPr>
        <w:tc>
          <w:tcPr>
            <w:tcW w:w="2442" w:type="dxa"/>
            <w:tcBorders>
              <w:top w:val="single" w:color="000000" w:sz="8" w:space="0"/>
              <w:left w:val="single" w:color="000000" w:sz="8" w:space="0"/>
              <w:bottom w:val="single" w:color="000000" w:sz="8" w:space="0"/>
              <w:right w:val="single" w:color="auto" w:sz="8" w:space="0"/>
            </w:tcBorders>
            <w:noWrap/>
            <w:vAlign w:val="center"/>
          </w:tcPr>
          <w:p w14:paraId="31FB6810">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业务员</w:t>
            </w:r>
            <w:r>
              <w:rPr>
                <w:rFonts w:ascii="仿宋" w:hAnsi="仿宋" w:eastAsia="仿宋" w:cs="宋体"/>
                <w:b/>
                <w:bCs/>
                <w:kern w:val="0"/>
                <w:sz w:val="24"/>
                <w:szCs w:val="24"/>
              </w:rPr>
              <w:t>姓名</w:t>
            </w:r>
          </w:p>
        </w:tc>
        <w:tc>
          <w:tcPr>
            <w:tcW w:w="1943" w:type="dxa"/>
            <w:gridSpan w:val="2"/>
            <w:tcBorders>
              <w:top w:val="single" w:color="auto" w:sz="8" w:space="0"/>
              <w:left w:val="nil"/>
              <w:bottom w:val="single" w:color="auto" w:sz="8" w:space="0"/>
              <w:right w:val="single" w:color="auto" w:sz="8" w:space="0"/>
            </w:tcBorders>
            <w:noWrap w:val="0"/>
            <w:vAlign w:val="center"/>
          </w:tcPr>
          <w:p w14:paraId="2C76B16F">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p>
        </w:tc>
        <w:tc>
          <w:tcPr>
            <w:tcW w:w="2268" w:type="dxa"/>
            <w:gridSpan w:val="2"/>
            <w:tcBorders>
              <w:top w:val="single" w:color="auto" w:sz="8" w:space="0"/>
              <w:left w:val="nil"/>
              <w:bottom w:val="single" w:color="auto" w:sz="8" w:space="0"/>
              <w:right w:val="single" w:color="auto" w:sz="8" w:space="0"/>
            </w:tcBorders>
            <w:noWrap w:val="0"/>
            <w:vAlign w:val="center"/>
          </w:tcPr>
          <w:p w14:paraId="140F89E2">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联系</w:t>
            </w:r>
            <w:r>
              <w:rPr>
                <w:rFonts w:ascii="仿宋" w:hAnsi="仿宋" w:eastAsia="仿宋" w:cs="宋体"/>
                <w:b/>
                <w:bCs/>
                <w:kern w:val="0"/>
                <w:sz w:val="24"/>
                <w:szCs w:val="24"/>
              </w:rPr>
              <w:t>电</w:t>
            </w:r>
            <w:r>
              <w:rPr>
                <w:rFonts w:hint="eastAsia" w:ascii="仿宋" w:hAnsi="仿宋" w:eastAsia="仿宋" w:cs="宋体"/>
                <w:b/>
                <w:bCs/>
                <w:kern w:val="0"/>
                <w:sz w:val="24"/>
                <w:szCs w:val="24"/>
              </w:rPr>
              <w:t>话</w:t>
            </w:r>
          </w:p>
        </w:tc>
        <w:tc>
          <w:tcPr>
            <w:tcW w:w="2268" w:type="dxa"/>
            <w:gridSpan w:val="3"/>
            <w:tcBorders>
              <w:top w:val="single" w:color="auto" w:sz="8" w:space="0"/>
              <w:left w:val="nil"/>
              <w:bottom w:val="single" w:color="auto" w:sz="8" w:space="0"/>
              <w:right w:val="single" w:color="auto" w:sz="8" w:space="0"/>
            </w:tcBorders>
            <w:noWrap w:val="0"/>
            <w:vAlign w:val="top"/>
          </w:tcPr>
          <w:p w14:paraId="1981E6DD">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p>
        </w:tc>
      </w:tr>
      <w:tr w14:paraId="234B88FA">
        <w:tblPrEx>
          <w:tblCellMar>
            <w:top w:w="0" w:type="dxa"/>
            <w:left w:w="108" w:type="dxa"/>
            <w:bottom w:w="0" w:type="dxa"/>
            <w:right w:w="108" w:type="dxa"/>
          </w:tblCellMar>
        </w:tblPrEx>
        <w:trPr>
          <w:trHeight w:val="1829" w:hRule="atLeast"/>
        </w:trPr>
        <w:tc>
          <w:tcPr>
            <w:tcW w:w="2442" w:type="dxa"/>
            <w:tcBorders>
              <w:top w:val="single" w:color="000000" w:sz="8" w:space="0"/>
              <w:left w:val="single" w:color="000000" w:sz="8" w:space="0"/>
              <w:bottom w:val="single" w:color="000000" w:sz="8" w:space="0"/>
              <w:right w:val="single" w:color="auto" w:sz="8" w:space="0"/>
            </w:tcBorders>
            <w:noWrap/>
            <w:vAlign w:val="center"/>
          </w:tcPr>
          <w:p w14:paraId="022E3F5E">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公司</w:t>
            </w:r>
            <w:r>
              <w:rPr>
                <w:rFonts w:ascii="仿宋" w:hAnsi="仿宋" w:eastAsia="仿宋" w:cs="宋体"/>
                <w:b/>
                <w:bCs/>
                <w:kern w:val="0"/>
                <w:sz w:val="24"/>
                <w:szCs w:val="24"/>
              </w:rPr>
              <w:t>承诺</w:t>
            </w:r>
          </w:p>
        </w:tc>
        <w:tc>
          <w:tcPr>
            <w:tcW w:w="6479" w:type="dxa"/>
            <w:gridSpan w:val="7"/>
            <w:tcBorders>
              <w:top w:val="single" w:color="auto" w:sz="8" w:space="0"/>
              <w:left w:val="nil"/>
              <w:bottom w:val="single" w:color="auto" w:sz="8" w:space="0"/>
              <w:right w:val="single" w:color="auto" w:sz="8" w:space="0"/>
            </w:tcBorders>
            <w:noWrap w:val="0"/>
            <w:vAlign w:val="center"/>
          </w:tcPr>
          <w:p w14:paraId="6C6C3452">
            <w:pPr>
              <w:spacing w:line="360" w:lineRule="auto"/>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我</w:t>
            </w:r>
            <w:r>
              <w:rPr>
                <w:rFonts w:ascii="仿宋" w:hAnsi="仿宋" w:eastAsia="仿宋" w:cs="宋体"/>
                <w:bCs/>
                <w:kern w:val="0"/>
                <w:sz w:val="24"/>
                <w:szCs w:val="24"/>
              </w:rPr>
              <w:t>公司承诺</w:t>
            </w:r>
            <w:r>
              <w:rPr>
                <w:rFonts w:hint="eastAsia" w:ascii="仿宋" w:hAnsi="仿宋" w:eastAsia="仿宋" w:cs="宋体"/>
                <w:bCs/>
                <w:kern w:val="0"/>
                <w:sz w:val="24"/>
                <w:szCs w:val="24"/>
                <w:lang w:val="en-US" w:eastAsia="zh-CN"/>
              </w:rPr>
              <w:t>采购</w:t>
            </w:r>
            <w:r>
              <w:rPr>
                <w:rFonts w:ascii="仿宋" w:hAnsi="仿宋" w:eastAsia="仿宋" w:cs="宋体"/>
                <w:bCs/>
                <w:kern w:val="0"/>
                <w:sz w:val="24"/>
                <w:szCs w:val="24"/>
              </w:rPr>
              <w:t>文件</w:t>
            </w:r>
            <w:r>
              <w:rPr>
                <w:rFonts w:hint="eastAsia" w:ascii="仿宋" w:hAnsi="仿宋" w:eastAsia="仿宋" w:cs="宋体"/>
                <w:bCs/>
                <w:kern w:val="0"/>
                <w:sz w:val="24"/>
                <w:szCs w:val="24"/>
                <w:lang w:eastAsia="zh-CN"/>
              </w:rPr>
              <w:t>“</w:t>
            </w:r>
            <w:r>
              <w:rPr>
                <w:rFonts w:hint="eastAsia" w:eastAsia="宋体"/>
                <w:b/>
                <w:sz w:val="24"/>
                <w:szCs w:val="24"/>
                <w:u w:val="thick" w:color="FF0000"/>
              </w:rPr>
              <w:t>三、商务和服务要求”</w:t>
            </w:r>
            <w:r>
              <w:rPr>
                <w:rFonts w:hint="eastAsia" w:ascii="仿宋" w:hAnsi="仿宋" w:eastAsia="仿宋" w:cs="宋体"/>
                <w:bCs/>
                <w:kern w:val="0"/>
                <w:sz w:val="24"/>
                <w:szCs w:val="24"/>
                <w:lang w:val="en-US" w:eastAsia="zh-CN"/>
              </w:rPr>
              <w:t>全部满足，无负偏离，如有负偏离我司将承担相应违约责任；如因</w:t>
            </w:r>
            <w:r>
              <w:rPr>
                <w:rFonts w:hint="eastAsia" w:ascii="仿宋" w:hAnsi="仿宋" w:eastAsia="仿宋" w:cs="宋体"/>
                <w:bCs/>
                <w:kern w:val="0"/>
                <w:sz w:val="24"/>
                <w:szCs w:val="24"/>
              </w:rPr>
              <w:t>我</w:t>
            </w:r>
            <w:r>
              <w:rPr>
                <w:rFonts w:ascii="仿宋" w:hAnsi="仿宋" w:eastAsia="仿宋" w:cs="宋体"/>
                <w:bCs/>
                <w:kern w:val="0"/>
                <w:sz w:val="24"/>
                <w:szCs w:val="24"/>
              </w:rPr>
              <w:t>公司投</w:t>
            </w:r>
            <w:r>
              <w:rPr>
                <w:rFonts w:hint="eastAsia" w:ascii="仿宋" w:hAnsi="仿宋" w:eastAsia="仿宋" w:cs="宋体"/>
                <w:bCs/>
                <w:kern w:val="0"/>
                <w:sz w:val="24"/>
                <w:szCs w:val="24"/>
              </w:rPr>
              <w:t>放</w:t>
            </w:r>
            <w:r>
              <w:rPr>
                <w:rFonts w:ascii="仿宋" w:hAnsi="仿宋" w:eastAsia="仿宋" w:cs="宋体"/>
                <w:bCs/>
                <w:kern w:val="0"/>
                <w:sz w:val="24"/>
                <w:szCs w:val="24"/>
              </w:rPr>
              <w:t>设备而发生</w:t>
            </w:r>
            <w:r>
              <w:rPr>
                <w:rFonts w:hint="eastAsia" w:ascii="仿宋" w:hAnsi="仿宋" w:eastAsia="仿宋" w:cs="宋体"/>
                <w:bCs/>
                <w:kern w:val="0"/>
                <w:sz w:val="24"/>
                <w:szCs w:val="24"/>
              </w:rPr>
              <w:t>的</w:t>
            </w:r>
            <w:r>
              <w:rPr>
                <w:rFonts w:ascii="仿宋" w:hAnsi="仿宋" w:eastAsia="仿宋" w:cs="宋体"/>
                <w:bCs/>
                <w:kern w:val="0"/>
                <w:sz w:val="24"/>
                <w:szCs w:val="24"/>
              </w:rPr>
              <w:t>安全生产</w:t>
            </w:r>
            <w:r>
              <w:rPr>
                <w:rFonts w:hint="eastAsia" w:ascii="仿宋" w:hAnsi="仿宋" w:eastAsia="仿宋" w:cs="宋体"/>
                <w:bCs/>
                <w:kern w:val="0"/>
                <w:sz w:val="24"/>
                <w:szCs w:val="24"/>
              </w:rPr>
              <w:t>、</w:t>
            </w:r>
            <w:r>
              <w:rPr>
                <w:rFonts w:ascii="仿宋" w:hAnsi="仿宋" w:eastAsia="仿宋" w:cs="宋体"/>
                <w:bCs/>
                <w:kern w:val="0"/>
                <w:sz w:val="24"/>
                <w:szCs w:val="24"/>
              </w:rPr>
              <w:t>消防安全</w:t>
            </w:r>
            <w:r>
              <w:rPr>
                <w:rFonts w:hint="eastAsia" w:ascii="仿宋" w:hAnsi="仿宋" w:eastAsia="仿宋" w:cs="宋体"/>
                <w:bCs/>
                <w:kern w:val="0"/>
                <w:sz w:val="24"/>
                <w:szCs w:val="24"/>
              </w:rPr>
              <w:t>等</w:t>
            </w:r>
            <w:r>
              <w:rPr>
                <w:rFonts w:ascii="仿宋" w:hAnsi="仿宋" w:eastAsia="仿宋" w:cs="宋体"/>
                <w:bCs/>
                <w:kern w:val="0"/>
                <w:sz w:val="24"/>
                <w:szCs w:val="24"/>
              </w:rPr>
              <w:t>责任事故，</w:t>
            </w:r>
            <w:r>
              <w:rPr>
                <w:rFonts w:hint="eastAsia" w:ascii="仿宋" w:hAnsi="仿宋" w:eastAsia="仿宋" w:cs="宋体"/>
                <w:bCs/>
                <w:kern w:val="0"/>
                <w:sz w:val="24"/>
                <w:szCs w:val="24"/>
              </w:rPr>
              <w:t>我</w:t>
            </w:r>
            <w:r>
              <w:rPr>
                <w:rFonts w:ascii="仿宋" w:hAnsi="仿宋" w:eastAsia="仿宋" w:cs="宋体"/>
                <w:bCs/>
                <w:kern w:val="0"/>
                <w:sz w:val="24"/>
                <w:szCs w:val="24"/>
              </w:rPr>
              <w:t>公司承担所有责任和损失。</w:t>
            </w:r>
          </w:p>
          <w:p w14:paraId="7E73694A">
            <w:pPr>
              <w:keepNext w:val="0"/>
              <w:keepLines w:val="0"/>
              <w:widowControl/>
              <w:suppressLineNumbers w:val="0"/>
              <w:spacing w:before="0" w:beforeAutospacing="0" w:after="0" w:afterAutospacing="0" w:line="360" w:lineRule="auto"/>
              <w:ind w:left="0" w:right="0" w:firstLine="480" w:firstLineChars="200"/>
              <w:jc w:val="left"/>
              <w:rPr>
                <w:rFonts w:ascii="仿宋" w:hAnsi="仿宋" w:eastAsia="仿宋" w:cs="宋体"/>
                <w:bCs/>
                <w:kern w:val="0"/>
                <w:sz w:val="24"/>
                <w:szCs w:val="24"/>
              </w:rPr>
            </w:pPr>
          </w:p>
        </w:tc>
      </w:tr>
      <w:tr w14:paraId="2E5CFA58">
        <w:tblPrEx>
          <w:tblCellMar>
            <w:top w:w="0" w:type="dxa"/>
            <w:left w:w="108" w:type="dxa"/>
            <w:bottom w:w="0" w:type="dxa"/>
            <w:right w:w="108" w:type="dxa"/>
          </w:tblCellMar>
        </w:tblPrEx>
        <w:trPr>
          <w:trHeight w:val="1009" w:hRule="atLeast"/>
        </w:trPr>
        <w:tc>
          <w:tcPr>
            <w:tcW w:w="2442" w:type="dxa"/>
            <w:tcBorders>
              <w:top w:val="single" w:color="000000" w:sz="8" w:space="0"/>
              <w:left w:val="single" w:color="000000" w:sz="8" w:space="0"/>
              <w:bottom w:val="single" w:color="000000" w:sz="8" w:space="0"/>
              <w:right w:val="single" w:color="auto" w:sz="8" w:space="0"/>
            </w:tcBorders>
            <w:noWrap/>
            <w:vAlign w:val="center"/>
          </w:tcPr>
          <w:p w14:paraId="2E9A22C3">
            <w:pPr>
              <w:keepNext w:val="0"/>
              <w:keepLines w:val="0"/>
              <w:widowControl/>
              <w:suppressLineNumbers w:val="0"/>
              <w:spacing w:before="0" w:beforeAutospacing="0" w:after="0" w:afterAutospacing="0" w:line="360" w:lineRule="auto"/>
              <w:ind w:left="0" w:right="0"/>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投标总价</w:t>
            </w:r>
          </w:p>
        </w:tc>
        <w:tc>
          <w:tcPr>
            <w:tcW w:w="6479" w:type="dxa"/>
            <w:gridSpan w:val="7"/>
            <w:tcBorders>
              <w:top w:val="single" w:color="auto" w:sz="8" w:space="0"/>
              <w:left w:val="nil"/>
              <w:bottom w:val="single" w:color="auto" w:sz="8" w:space="0"/>
              <w:right w:val="single" w:color="auto" w:sz="8" w:space="0"/>
            </w:tcBorders>
            <w:noWrap w:val="0"/>
            <w:vAlign w:val="center"/>
          </w:tcPr>
          <w:p w14:paraId="79A28F45">
            <w:pPr>
              <w:keepNext w:val="0"/>
              <w:keepLines w:val="0"/>
              <w:widowControl/>
              <w:suppressLineNumbers w:val="0"/>
              <w:spacing w:before="0" w:beforeAutospacing="0" w:after="0" w:afterAutospacing="0" w:line="360" w:lineRule="auto"/>
              <w:ind w:left="0" w:right="0" w:firstLine="480" w:firstLineChars="200"/>
              <w:jc w:val="left"/>
              <w:rPr>
                <w:rFonts w:hint="eastAsia" w:ascii="仿宋" w:hAnsi="仿宋" w:eastAsia="仿宋" w:cs="宋体"/>
                <w:bCs/>
                <w:kern w:val="0"/>
                <w:sz w:val="24"/>
                <w:szCs w:val="24"/>
                <w:lang w:val="en-US" w:eastAsia="zh-CN"/>
              </w:rPr>
            </w:pPr>
            <w:r>
              <w:rPr>
                <w:rFonts w:hint="eastAsia" w:ascii="仿宋" w:hAnsi="仿宋" w:eastAsia="仿宋" w:cs="宋体"/>
                <w:bCs/>
                <w:kern w:val="0"/>
                <w:sz w:val="24"/>
                <w:szCs w:val="24"/>
                <w:lang w:val="en-US" w:eastAsia="zh-CN"/>
              </w:rPr>
              <w:t>大写：</w:t>
            </w:r>
          </w:p>
          <w:p w14:paraId="112D89F7">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宋体"/>
                <w:bCs/>
                <w:kern w:val="0"/>
                <w:sz w:val="24"/>
                <w:szCs w:val="24"/>
                <w:lang w:val="en-US" w:eastAsia="zh-CN"/>
              </w:rPr>
            </w:pPr>
            <w:r>
              <w:rPr>
                <w:rFonts w:hint="eastAsia" w:ascii="仿宋" w:hAnsi="仿宋" w:eastAsia="仿宋" w:cs="宋体"/>
                <w:bCs/>
                <w:kern w:val="0"/>
                <w:sz w:val="24"/>
                <w:szCs w:val="24"/>
                <w:lang w:val="en-US" w:eastAsia="zh-CN"/>
              </w:rPr>
              <w:t>小写：</w:t>
            </w:r>
          </w:p>
        </w:tc>
      </w:tr>
      <w:tr w14:paraId="346D339F">
        <w:tblPrEx>
          <w:tblCellMar>
            <w:top w:w="0" w:type="dxa"/>
            <w:left w:w="108" w:type="dxa"/>
            <w:bottom w:w="0" w:type="dxa"/>
            <w:right w:w="108" w:type="dxa"/>
          </w:tblCellMar>
        </w:tblPrEx>
        <w:trPr>
          <w:trHeight w:val="136" w:hRule="atLeast"/>
        </w:trPr>
        <w:tc>
          <w:tcPr>
            <w:tcW w:w="2442" w:type="dxa"/>
            <w:vMerge w:val="restart"/>
            <w:tcBorders>
              <w:top w:val="single" w:color="000000" w:sz="8" w:space="0"/>
              <w:left w:val="single" w:color="000000" w:sz="8" w:space="0"/>
              <w:right w:val="single" w:color="auto" w:sz="8" w:space="0"/>
            </w:tcBorders>
            <w:noWrap/>
            <w:vAlign w:val="center"/>
          </w:tcPr>
          <w:p w14:paraId="3BB4A81D">
            <w:pPr>
              <w:keepNext w:val="0"/>
              <w:keepLines w:val="0"/>
              <w:widowControl/>
              <w:suppressLineNumbers w:val="0"/>
              <w:spacing w:before="0" w:beforeAutospacing="0" w:after="0" w:afterAutospacing="0" w:line="360" w:lineRule="auto"/>
              <w:ind w:left="0" w:right="0"/>
              <w:rPr>
                <w:rFonts w:hint="eastAsia" w:ascii="仿宋" w:hAnsi="仿宋" w:eastAsia="仿宋" w:cs="宋体"/>
                <w:b/>
                <w:bCs/>
                <w:kern w:val="0"/>
                <w:sz w:val="24"/>
                <w:szCs w:val="24"/>
                <w:lang w:eastAsia="zh-CN"/>
              </w:rPr>
            </w:pPr>
            <w:r>
              <w:rPr>
                <w:rFonts w:ascii="仿宋" w:hAnsi="仿宋" w:eastAsia="仿宋" w:cs="宋体"/>
                <w:b/>
                <w:bCs/>
                <w:kern w:val="0"/>
                <w:sz w:val="24"/>
                <w:szCs w:val="24"/>
              </w:rPr>
              <w:t xml:space="preserve">      </w:t>
            </w:r>
            <w:r>
              <w:rPr>
                <w:rFonts w:hint="eastAsia" w:ascii="仿宋" w:hAnsi="仿宋" w:eastAsia="仿宋" w:cs="宋体"/>
                <w:b/>
                <w:bCs/>
                <w:kern w:val="0"/>
                <w:sz w:val="24"/>
                <w:szCs w:val="24"/>
                <w:lang w:eastAsia="zh-CN"/>
              </w:rPr>
              <w:t>分项报价</w:t>
            </w:r>
          </w:p>
        </w:tc>
        <w:tc>
          <w:tcPr>
            <w:tcW w:w="742" w:type="dxa"/>
            <w:tcBorders>
              <w:top w:val="single" w:color="auto" w:sz="8" w:space="0"/>
              <w:left w:val="nil"/>
              <w:bottom w:val="single" w:color="auto" w:sz="8" w:space="0"/>
              <w:right w:val="single" w:color="auto" w:sz="8" w:space="0"/>
            </w:tcBorders>
            <w:noWrap w:val="0"/>
            <w:vAlign w:val="center"/>
          </w:tcPr>
          <w:p w14:paraId="647A0E02">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b/>
                <w:bCs/>
                <w:i w:val="0"/>
                <w:iCs w:val="0"/>
                <w:color w:val="000000"/>
                <w:sz w:val="24"/>
                <w:szCs w:val="24"/>
                <w:u w:val="none"/>
                <w:lang w:val="en-US" w:eastAsia="zh-CN"/>
              </w:rPr>
              <w:t>序号</w:t>
            </w:r>
          </w:p>
        </w:tc>
        <w:tc>
          <w:tcPr>
            <w:tcW w:w="2727" w:type="dxa"/>
            <w:gridSpan w:val="2"/>
            <w:tcBorders>
              <w:top w:val="single" w:color="auto" w:sz="8" w:space="0"/>
              <w:left w:val="nil"/>
              <w:bottom w:val="single" w:color="auto" w:sz="8" w:space="0"/>
              <w:right w:val="single" w:color="auto" w:sz="8" w:space="0"/>
            </w:tcBorders>
            <w:noWrap w:val="0"/>
            <w:vAlign w:val="center"/>
          </w:tcPr>
          <w:p w14:paraId="41F554AD">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b/>
                <w:bCs/>
                <w:i w:val="0"/>
                <w:iCs w:val="0"/>
                <w:color w:val="000000"/>
                <w:kern w:val="0"/>
                <w:sz w:val="24"/>
                <w:szCs w:val="24"/>
                <w:u w:val="none"/>
                <w:lang w:val="en-US" w:eastAsia="zh-CN" w:bidi="ar"/>
              </w:rPr>
              <w:t>产品名称</w:t>
            </w:r>
          </w:p>
        </w:tc>
        <w:tc>
          <w:tcPr>
            <w:tcW w:w="742" w:type="dxa"/>
            <w:tcBorders>
              <w:top w:val="single" w:color="auto" w:sz="8" w:space="0"/>
              <w:left w:val="nil"/>
              <w:bottom w:val="single" w:color="auto" w:sz="8" w:space="0"/>
              <w:right w:val="single" w:color="auto" w:sz="8" w:space="0"/>
            </w:tcBorders>
            <w:noWrap w:val="0"/>
            <w:vAlign w:val="center"/>
          </w:tcPr>
          <w:p w14:paraId="2F5128CF">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b/>
                <w:bCs/>
                <w:i w:val="0"/>
                <w:iCs w:val="0"/>
                <w:color w:val="000000"/>
                <w:kern w:val="0"/>
                <w:sz w:val="24"/>
                <w:szCs w:val="24"/>
                <w:u w:val="none"/>
                <w:lang w:val="en-US" w:eastAsia="zh-CN" w:bidi="ar"/>
              </w:rPr>
              <w:t>数量</w:t>
            </w:r>
          </w:p>
        </w:tc>
        <w:tc>
          <w:tcPr>
            <w:tcW w:w="717" w:type="dxa"/>
            <w:tcBorders>
              <w:top w:val="single" w:color="auto" w:sz="8" w:space="0"/>
              <w:left w:val="nil"/>
              <w:bottom w:val="single" w:color="auto" w:sz="8" w:space="0"/>
              <w:right w:val="single" w:color="auto" w:sz="8" w:space="0"/>
            </w:tcBorders>
            <w:noWrap w:val="0"/>
            <w:vAlign w:val="center"/>
          </w:tcPr>
          <w:p w14:paraId="1A058C24">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b/>
                <w:bCs/>
                <w:i w:val="0"/>
                <w:iCs w:val="0"/>
                <w:color w:val="000000"/>
                <w:kern w:val="0"/>
                <w:sz w:val="24"/>
                <w:szCs w:val="24"/>
                <w:u w:val="none"/>
                <w:lang w:val="en-US" w:eastAsia="zh-CN" w:bidi="ar"/>
              </w:rPr>
              <w:t>单位</w:t>
            </w:r>
          </w:p>
        </w:tc>
        <w:tc>
          <w:tcPr>
            <w:tcW w:w="818" w:type="dxa"/>
            <w:tcBorders>
              <w:top w:val="single" w:color="auto" w:sz="8" w:space="0"/>
              <w:left w:val="nil"/>
              <w:bottom w:val="single" w:color="auto" w:sz="8" w:space="0"/>
              <w:right w:val="single" w:color="auto" w:sz="8" w:space="0"/>
            </w:tcBorders>
            <w:noWrap w:val="0"/>
            <w:vAlign w:val="center"/>
          </w:tcPr>
          <w:p w14:paraId="0054ED8B">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b/>
                <w:bCs/>
                <w:i w:val="0"/>
                <w:iCs w:val="0"/>
                <w:color w:val="000000"/>
                <w:kern w:val="0"/>
                <w:sz w:val="24"/>
                <w:szCs w:val="24"/>
                <w:u w:val="none"/>
                <w:lang w:val="en-US" w:eastAsia="zh-CN" w:bidi="ar"/>
              </w:rPr>
              <w:t>单价</w:t>
            </w:r>
          </w:p>
        </w:tc>
        <w:tc>
          <w:tcPr>
            <w:tcW w:w="733" w:type="dxa"/>
            <w:tcBorders>
              <w:top w:val="single" w:color="auto" w:sz="8" w:space="0"/>
              <w:left w:val="nil"/>
              <w:bottom w:val="single" w:color="auto" w:sz="8" w:space="0"/>
              <w:right w:val="single" w:color="auto" w:sz="8" w:space="0"/>
            </w:tcBorders>
            <w:noWrap w:val="0"/>
            <w:vAlign w:val="center"/>
          </w:tcPr>
          <w:p w14:paraId="4988541A">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b/>
                <w:bCs/>
                <w:i w:val="0"/>
                <w:iCs w:val="0"/>
                <w:color w:val="000000"/>
                <w:kern w:val="0"/>
                <w:sz w:val="24"/>
                <w:szCs w:val="24"/>
                <w:u w:val="none"/>
                <w:lang w:val="en-US" w:eastAsia="zh-CN" w:bidi="ar"/>
              </w:rPr>
              <w:t>总价</w:t>
            </w:r>
          </w:p>
        </w:tc>
      </w:tr>
      <w:tr w14:paraId="13A09082">
        <w:tblPrEx>
          <w:tblCellMar>
            <w:top w:w="0" w:type="dxa"/>
            <w:left w:w="108" w:type="dxa"/>
            <w:bottom w:w="0" w:type="dxa"/>
            <w:right w:w="108" w:type="dxa"/>
          </w:tblCellMar>
        </w:tblPrEx>
        <w:trPr>
          <w:trHeight w:val="136" w:hRule="atLeast"/>
        </w:trPr>
        <w:tc>
          <w:tcPr>
            <w:tcW w:w="2442" w:type="dxa"/>
            <w:vMerge w:val="continue"/>
            <w:tcBorders>
              <w:left w:val="single" w:color="000000" w:sz="8" w:space="0"/>
              <w:right w:val="single" w:color="auto" w:sz="8" w:space="0"/>
            </w:tcBorders>
            <w:noWrap/>
            <w:vAlign w:val="center"/>
          </w:tcPr>
          <w:p w14:paraId="57647378">
            <w:pPr>
              <w:keepNext w:val="0"/>
              <w:keepLines w:val="0"/>
              <w:widowControl/>
              <w:suppressLineNumbers w:val="0"/>
              <w:spacing w:before="0" w:beforeAutospacing="0" w:after="0" w:afterAutospacing="0" w:line="360" w:lineRule="auto"/>
              <w:ind w:left="0" w:right="0" w:firstLine="520" w:firstLineChars="200"/>
            </w:pPr>
          </w:p>
        </w:tc>
        <w:tc>
          <w:tcPr>
            <w:tcW w:w="742" w:type="dxa"/>
            <w:tcBorders>
              <w:top w:val="single" w:color="auto" w:sz="8" w:space="0"/>
              <w:left w:val="nil"/>
              <w:bottom w:val="single" w:color="auto" w:sz="8" w:space="0"/>
              <w:right w:val="single" w:color="auto" w:sz="8" w:space="0"/>
            </w:tcBorders>
            <w:noWrap w:val="0"/>
            <w:vAlign w:val="center"/>
          </w:tcPr>
          <w:p w14:paraId="781F1AFC">
            <w:pPr>
              <w:keepNext w:val="0"/>
              <w:keepLines w:val="0"/>
              <w:widowControl/>
              <w:suppressLineNumbers w:val="0"/>
              <w:jc w:val="center"/>
              <w:textAlignment w:val="center"/>
            </w:pPr>
            <w:r>
              <w:rPr>
                <w:rFonts w:hint="eastAsia" w:ascii="仿宋" w:hAnsi="仿宋" w:eastAsia="仿宋" w:cs="仿宋"/>
                <w:i w:val="0"/>
                <w:iCs w:val="0"/>
                <w:color w:val="000000"/>
                <w:kern w:val="0"/>
                <w:sz w:val="24"/>
                <w:szCs w:val="24"/>
                <w:u w:val="none"/>
                <w:lang w:val="en-US" w:eastAsia="zh-CN" w:bidi="ar"/>
              </w:rPr>
              <w:t>1</w:t>
            </w:r>
          </w:p>
        </w:tc>
        <w:tc>
          <w:tcPr>
            <w:tcW w:w="2727" w:type="dxa"/>
            <w:gridSpan w:val="2"/>
            <w:tcBorders>
              <w:top w:val="single" w:color="auto" w:sz="8" w:space="0"/>
              <w:left w:val="nil"/>
              <w:bottom w:val="single" w:color="auto" w:sz="8" w:space="0"/>
              <w:right w:val="single" w:color="auto" w:sz="8" w:space="0"/>
            </w:tcBorders>
            <w:noWrap w:val="0"/>
            <w:vAlign w:val="center"/>
          </w:tcPr>
          <w:p w14:paraId="501D75A5">
            <w:pPr>
              <w:keepNext w:val="0"/>
              <w:keepLines w:val="0"/>
              <w:widowControl/>
              <w:suppressLineNumbers w:val="0"/>
              <w:jc w:val="center"/>
              <w:textAlignment w:val="center"/>
            </w:pPr>
            <w:r>
              <w:rPr>
                <w:rFonts w:hint="eastAsia" w:ascii="仿宋" w:hAnsi="仿宋" w:eastAsia="仿宋" w:cs="仿宋"/>
                <w:i w:val="0"/>
                <w:iCs w:val="0"/>
                <w:color w:val="000000"/>
                <w:kern w:val="0"/>
                <w:sz w:val="24"/>
                <w:szCs w:val="24"/>
                <w:u w:val="none"/>
                <w:lang w:val="en-US" w:eastAsia="zh-CN" w:bidi="ar"/>
              </w:rPr>
              <w:t>400万变焦LED抓拍显示一体机</w:t>
            </w:r>
          </w:p>
        </w:tc>
        <w:tc>
          <w:tcPr>
            <w:tcW w:w="742" w:type="dxa"/>
            <w:tcBorders>
              <w:top w:val="single" w:color="auto" w:sz="8" w:space="0"/>
              <w:left w:val="nil"/>
              <w:bottom w:val="single" w:color="auto" w:sz="8" w:space="0"/>
              <w:right w:val="single" w:color="auto" w:sz="8" w:space="0"/>
            </w:tcBorders>
            <w:noWrap w:val="0"/>
            <w:vAlign w:val="center"/>
          </w:tcPr>
          <w:p w14:paraId="79478E0B">
            <w:pPr>
              <w:keepNext w:val="0"/>
              <w:keepLines w:val="0"/>
              <w:widowControl/>
              <w:suppressLineNumbers w:val="0"/>
              <w:jc w:val="center"/>
              <w:textAlignment w:val="center"/>
            </w:pPr>
            <w:r>
              <w:rPr>
                <w:rFonts w:hint="eastAsia" w:ascii="仿宋" w:hAnsi="仿宋" w:eastAsia="仿宋" w:cs="仿宋"/>
                <w:i w:val="0"/>
                <w:iCs w:val="0"/>
                <w:color w:val="000000"/>
                <w:kern w:val="0"/>
                <w:sz w:val="24"/>
                <w:szCs w:val="24"/>
                <w:u w:val="none"/>
                <w:lang w:val="en-US" w:eastAsia="zh-CN" w:bidi="ar"/>
              </w:rPr>
              <w:t>5</w:t>
            </w:r>
          </w:p>
        </w:tc>
        <w:tc>
          <w:tcPr>
            <w:tcW w:w="717" w:type="dxa"/>
            <w:tcBorders>
              <w:top w:val="single" w:color="auto" w:sz="8" w:space="0"/>
              <w:left w:val="nil"/>
              <w:bottom w:val="single" w:color="auto" w:sz="8" w:space="0"/>
              <w:right w:val="single" w:color="auto" w:sz="8" w:space="0"/>
            </w:tcBorders>
            <w:noWrap w:val="0"/>
            <w:vAlign w:val="center"/>
          </w:tcPr>
          <w:p w14:paraId="0F6C4DF5">
            <w:pPr>
              <w:keepNext w:val="0"/>
              <w:keepLines w:val="0"/>
              <w:widowControl/>
              <w:suppressLineNumbers w:val="0"/>
              <w:jc w:val="center"/>
              <w:textAlignment w:val="center"/>
            </w:pPr>
            <w:r>
              <w:rPr>
                <w:rFonts w:hint="eastAsia" w:ascii="仿宋" w:hAnsi="仿宋" w:eastAsia="仿宋" w:cs="仿宋"/>
                <w:i w:val="0"/>
                <w:iCs w:val="0"/>
                <w:color w:val="000000"/>
                <w:kern w:val="0"/>
                <w:sz w:val="24"/>
                <w:szCs w:val="24"/>
                <w:u w:val="none"/>
                <w:lang w:val="en-US" w:eastAsia="zh-CN" w:bidi="ar"/>
              </w:rPr>
              <w:t>台</w:t>
            </w:r>
          </w:p>
        </w:tc>
        <w:tc>
          <w:tcPr>
            <w:tcW w:w="818" w:type="dxa"/>
            <w:tcBorders>
              <w:top w:val="single" w:color="auto" w:sz="8" w:space="0"/>
              <w:left w:val="nil"/>
              <w:bottom w:val="single" w:color="auto" w:sz="8" w:space="0"/>
              <w:right w:val="single" w:color="auto" w:sz="8" w:space="0"/>
            </w:tcBorders>
            <w:noWrap w:val="0"/>
            <w:vAlign w:val="center"/>
          </w:tcPr>
          <w:p w14:paraId="29853F81">
            <w:pPr>
              <w:keepNext w:val="0"/>
              <w:keepLines w:val="0"/>
              <w:widowControl/>
              <w:suppressLineNumbers w:val="0"/>
              <w:jc w:val="center"/>
              <w:textAlignment w:val="center"/>
            </w:pPr>
          </w:p>
        </w:tc>
        <w:tc>
          <w:tcPr>
            <w:tcW w:w="733" w:type="dxa"/>
            <w:tcBorders>
              <w:top w:val="single" w:color="auto" w:sz="8" w:space="0"/>
              <w:left w:val="nil"/>
              <w:bottom w:val="single" w:color="auto" w:sz="8" w:space="0"/>
              <w:right w:val="single" w:color="auto" w:sz="8" w:space="0"/>
            </w:tcBorders>
            <w:noWrap w:val="0"/>
            <w:vAlign w:val="center"/>
          </w:tcPr>
          <w:p w14:paraId="1D8B649B">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r>
      <w:tr w14:paraId="3A973DA8">
        <w:tblPrEx>
          <w:tblCellMar>
            <w:top w:w="0" w:type="dxa"/>
            <w:left w:w="108" w:type="dxa"/>
            <w:bottom w:w="0" w:type="dxa"/>
            <w:right w:w="108" w:type="dxa"/>
          </w:tblCellMar>
        </w:tblPrEx>
        <w:trPr>
          <w:trHeight w:val="136" w:hRule="atLeast"/>
        </w:trPr>
        <w:tc>
          <w:tcPr>
            <w:tcW w:w="2442" w:type="dxa"/>
            <w:vMerge w:val="continue"/>
            <w:tcBorders>
              <w:left w:val="single" w:color="000000" w:sz="8" w:space="0"/>
              <w:right w:val="single" w:color="auto" w:sz="8" w:space="0"/>
            </w:tcBorders>
            <w:noWrap/>
            <w:vAlign w:val="center"/>
          </w:tcPr>
          <w:p w14:paraId="5D8BFE77">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宋体"/>
                <w:bCs/>
                <w:kern w:val="0"/>
                <w:sz w:val="24"/>
                <w:szCs w:val="24"/>
                <w:lang w:eastAsia="zh-CN"/>
              </w:rPr>
            </w:pPr>
          </w:p>
        </w:tc>
        <w:tc>
          <w:tcPr>
            <w:tcW w:w="742" w:type="dxa"/>
            <w:tcBorders>
              <w:top w:val="single" w:color="auto" w:sz="8" w:space="0"/>
              <w:left w:val="nil"/>
              <w:bottom w:val="single" w:color="auto" w:sz="8" w:space="0"/>
              <w:right w:val="single" w:color="auto" w:sz="8" w:space="0"/>
            </w:tcBorders>
            <w:noWrap w:val="0"/>
            <w:vAlign w:val="center"/>
          </w:tcPr>
          <w:p w14:paraId="6D40857E">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2</w:t>
            </w:r>
          </w:p>
        </w:tc>
        <w:tc>
          <w:tcPr>
            <w:tcW w:w="2727" w:type="dxa"/>
            <w:gridSpan w:val="2"/>
            <w:tcBorders>
              <w:top w:val="single" w:color="auto" w:sz="8" w:space="0"/>
              <w:left w:val="nil"/>
              <w:bottom w:val="single" w:color="auto" w:sz="8" w:space="0"/>
              <w:right w:val="single" w:color="auto" w:sz="8" w:space="0"/>
            </w:tcBorders>
            <w:noWrap w:val="0"/>
            <w:vAlign w:val="center"/>
          </w:tcPr>
          <w:p w14:paraId="44B69EDD">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直臂伸缩杆道闸</w:t>
            </w:r>
          </w:p>
        </w:tc>
        <w:tc>
          <w:tcPr>
            <w:tcW w:w="742" w:type="dxa"/>
            <w:tcBorders>
              <w:top w:val="single" w:color="auto" w:sz="8" w:space="0"/>
              <w:left w:val="nil"/>
              <w:bottom w:val="single" w:color="auto" w:sz="8" w:space="0"/>
              <w:right w:val="single" w:color="auto" w:sz="8" w:space="0"/>
            </w:tcBorders>
            <w:noWrap w:val="0"/>
            <w:vAlign w:val="center"/>
          </w:tcPr>
          <w:p w14:paraId="29129A98">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4</w:t>
            </w:r>
          </w:p>
        </w:tc>
        <w:tc>
          <w:tcPr>
            <w:tcW w:w="717" w:type="dxa"/>
            <w:tcBorders>
              <w:top w:val="single" w:color="auto" w:sz="8" w:space="0"/>
              <w:left w:val="nil"/>
              <w:bottom w:val="single" w:color="auto" w:sz="8" w:space="0"/>
              <w:right w:val="single" w:color="auto" w:sz="8" w:space="0"/>
            </w:tcBorders>
            <w:noWrap w:val="0"/>
            <w:vAlign w:val="center"/>
          </w:tcPr>
          <w:p w14:paraId="589E84B5">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台</w:t>
            </w:r>
          </w:p>
        </w:tc>
        <w:tc>
          <w:tcPr>
            <w:tcW w:w="818" w:type="dxa"/>
            <w:tcBorders>
              <w:top w:val="single" w:color="auto" w:sz="8" w:space="0"/>
              <w:left w:val="nil"/>
              <w:bottom w:val="single" w:color="auto" w:sz="8" w:space="0"/>
              <w:right w:val="single" w:color="auto" w:sz="8" w:space="0"/>
            </w:tcBorders>
            <w:noWrap w:val="0"/>
            <w:vAlign w:val="center"/>
          </w:tcPr>
          <w:p w14:paraId="524F5E92">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c>
          <w:tcPr>
            <w:tcW w:w="733" w:type="dxa"/>
            <w:tcBorders>
              <w:top w:val="single" w:color="auto" w:sz="8" w:space="0"/>
              <w:left w:val="nil"/>
              <w:bottom w:val="single" w:color="auto" w:sz="8" w:space="0"/>
              <w:right w:val="single" w:color="auto" w:sz="8" w:space="0"/>
            </w:tcBorders>
            <w:noWrap w:val="0"/>
            <w:vAlign w:val="center"/>
          </w:tcPr>
          <w:p w14:paraId="6CD56435">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r>
      <w:tr w14:paraId="08DAC181">
        <w:tblPrEx>
          <w:tblCellMar>
            <w:top w:w="0" w:type="dxa"/>
            <w:left w:w="108" w:type="dxa"/>
            <w:bottom w:w="0" w:type="dxa"/>
            <w:right w:w="108" w:type="dxa"/>
          </w:tblCellMar>
        </w:tblPrEx>
        <w:trPr>
          <w:trHeight w:val="136" w:hRule="atLeast"/>
        </w:trPr>
        <w:tc>
          <w:tcPr>
            <w:tcW w:w="2442" w:type="dxa"/>
            <w:vMerge w:val="continue"/>
            <w:tcBorders>
              <w:left w:val="single" w:color="000000" w:sz="8" w:space="0"/>
              <w:right w:val="single" w:color="auto" w:sz="8" w:space="0"/>
            </w:tcBorders>
            <w:noWrap/>
            <w:vAlign w:val="center"/>
          </w:tcPr>
          <w:p w14:paraId="702BDB2A">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宋体"/>
                <w:bCs/>
                <w:kern w:val="0"/>
                <w:sz w:val="24"/>
                <w:szCs w:val="24"/>
                <w:lang w:eastAsia="zh-CN"/>
              </w:rPr>
            </w:pPr>
          </w:p>
        </w:tc>
        <w:tc>
          <w:tcPr>
            <w:tcW w:w="742" w:type="dxa"/>
            <w:tcBorders>
              <w:top w:val="single" w:color="auto" w:sz="8" w:space="0"/>
              <w:left w:val="nil"/>
              <w:bottom w:val="single" w:color="auto" w:sz="8" w:space="0"/>
              <w:right w:val="single" w:color="auto" w:sz="8" w:space="0"/>
            </w:tcBorders>
            <w:noWrap w:val="0"/>
            <w:vAlign w:val="center"/>
          </w:tcPr>
          <w:p w14:paraId="393496D0">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2727" w:type="dxa"/>
            <w:gridSpan w:val="2"/>
            <w:tcBorders>
              <w:top w:val="single" w:color="auto" w:sz="8" w:space="0"/>
              <w:left w:val="nil"/>
              <w:bottom w:val="single" w:color="auto" w:sz="8" w:space="0"/>
              <w:right w:val="single" w:color="auto" w:sz="8" w:space="0"/>
            </w:tcBorders>
            <w:noWrap w:val="0"/>
            <w:vAlign w:val="center"/>
          </w:tcPr>
          <w:p w14:paraId="6E4E294F">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变频道闸配杆（伸缩杆，不分左右4-5米）</w:t>
            </w:r>
          </w:p>
        </w:tc>
        <w:tc>
          <w:tcPr>
            <w:tcW w:w="742" w:type="dxa"/>
            <w:tcBorders>
              <w:top w:val="single" w:color="auto" w:sz="8" w:space="0"/>
              <w:left w:val="nil"/>
              <w:bottom w:val="single" w:color="auto" w:sz="8" w:space="0"/>
              <w:right w:val="single" w:color="auto" w:sz="8" w:space="0"/>
            </w:tcBorders>
            <w:noWrap w:val="0"/>
            <w:vAlign w:val="center"/>
          </w:tcPr>
          <w:p w14:paraId="50C18A5D">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4</w:t>
            </w:r>
          </w:p>
        </w:tc>
        <w:tc>
          <w:tcPr>
            <w:tcW w:w="717" w:type="dxa"/>
            <w:tcBorders>
              <w:top w:val="single" w:color="auto" w:sz="8" w:space="0"/>
              <w:left w:val="nil"/>
              <w:bottom w:val="single" w:color="auto" w:sz="8" w:space="0"/>
              <w:right w:val="single" w:color="auto" w:sz="8" w:space="0"/>
            </w:tcBorders>
            <w:noWrap w:val="0"/>
            <w:vAlign w:val="center"/>
          </w:tcPr>
          <w:p w14:paraId="3738903E">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根</w:t>
            </w:r>
          </w:p>
        </w:tc>
        <w:tc>
          <w:tcPr>
            <w:tcW w:w="818" w:type="dxa"/>
            <w:tcBorders>
              <w:top w:val="single" w:color="auto" w:sz="8" w:space="0"/>
              <w:left w:val="nil"/>
              <w:bottom w:val="single" w:color="auto" w:sz="8" w:space="0"/>
              <w:right w:val="single" w:color="auto" w:sz="8" w:space="0"/>
            </w:tcBorders>
            <w:noWrap w:val="0"/>
            <w:vAlign w:val="center"/>
          </w:tcPr>
          <w:p w14:paraId="7641F0C2">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c>
          <w:tcPr>
            <w:tcW w:w="733" w:type="dxa"/>
            <w:tcBorders>
              <w:top w:val="single" w:color="auto" w:sz="8" w:space="0"/>
              <w:left w:val="nil"/>
              <w:bottom w:val="single" w:color="auto" w:sz="8" w:space="0"/>
              <w:right w:val="single" w:color="auto" w:sz="8" w:space="0"/>
            </w:tcBorders>
            <w:noWrap w:val="0"/>
            <w:vAlign w:val="center"/>
          </w:tcPr>
          <w:p w14:paraId="7D5E6F7B">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r>
      <w:tr w14:paraId="37CE363E">
        <w:tblPrEx>
          <w:tblCellMar>
            <w:top w:w="0" w:type="dxa"/>
            <w:left w:w="108" w:type="dxa"/>
            <w:bottom w:w="0" w:type="dxa"/>
            <w:right w:w="108" w:type="dxa"/>
          </w:tblCellMar>
        </w:tblPrEx>
        <w:trPr>
          <w:trHeight w:val="136" w:hRule="atLeast"/>
        </w:trPr>
        <w:tc>
          <w:tcPr>
            <w:tcW w:w="2442" w:type="dxa"/>
            <w:vMerge w:val="continue"/>
            <w:tcBorders>
              <w:left w:val="single" w:color="000000" w:sz="8" w:space="0"/>
              <w:right w:val="single" w:color="auto" w:sz="8" w:space="0"/>
            </w:tcBorders>
            <w:noWrap/>
            <w:vAlign w:val="center"/>
          </w:tcPr>
          <w:p w14:paraId="73E6F022">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宋体"/>
                <w:bCs/>
                <w:kern w:val="0"/>
                <w:sz w:val="24"/>
                <w:szCs w:val="24"/>
                <w:lang w:eastAsia="zh-CN"/>
              </w:rPr>
            </w:pPr>
          </w:p>
        </w:tc>
        <w:tc>
          <w:tcPr>
            <w:tcW w:w="742" w:type="dxa"/>
            <w:tcBorders>
              <w:top w:val="single" w:color="auto" w:sz="8" w:space="0"/>
              <w:left w:val="nil"/>
              <w:bottom w:val="single" w:color="auto" w:sz="8" w:space="0"/>
              <w:right w:val="single" w:color="auto" w:sz="8" w:space="0"/>
            </w:tcBorders>
            <w:noWrap w:val="0"/>
            <w:vAlign w:val="center"/>
          </w:tcPr>
          <w:p w14:paraId="306E681E">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4</w:t>
            </w:r>
          </w:p>
        </w:tc>
        <w:tc>
          <w:tcPr>
            <w:tcW w:w="2727" w:type="dxa"/>
            <w:gridSpan w:val="2"/>
            <w:tcBorders>
              <w:top w:val="single" w:color="auto" w:sz="8" w:space="0"/>
              <w:left w:val="nil"/>
              <w:bottom w:val="single" w:color="auto" w:sz="8" w:space="0"/>
              <w:right w:val="single" w:color="auto" w:sz="8" w:space="0"/>
            </w:tcBorders>
            <w:noWrap w:val="0"/>
            <w:vAlign w:val="center"/>
          </w:tcPr>
          <w:p w14:paraId="6B06E461">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防砸雷达</w:t>
            </w:r>
          </w:p>
        </w:tc>
        <w:tc>
          <w:tcPr>
            <w:tcW w:w="742" w:type="dxa"/>
            <w:tcBorders>
              <w:top w:val="single" w:color="auto" w:sz="8" w:space="0"/>
              <w:left w:val="nil"/>
              <w:bottom w:val="single" w:color="auto" w:sz="8" w:space="0"/>
              <w:right w:val="single" w:color="auto" w:sz="8" w:space="0"/>
            </w:tcBorders>
            <w:noWrap w:val="0"/>
            <w:vAlign w:val="center"/>
          </w:tcPr>
          <w:p w14:paraId="151D34E2">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4</w:t>
            </w:r>
          </w:p>
        </w:tc>
        <w:tc>
          <w:tcPr>
            <w:tcW w:w="717" w:type="dxa"/>
            <w:tcBorders>
              <w:top w:val="single" w:color="auto" w:sz="8" w:space="0"/>
              <w:left w:val="nil"/>
              <w:bottom w:val="single" w:color="auto" w:sz="8" w:space="0"/>
              <w:right w:val="single" w:color="auto" w:sz="8" w:space="0"/>
            </w:tcBorders>
            <w:noWrap w:val="0"/>
            <w:vAlign w:val="center"/>
          </w:tcPr>
          <w:p w14:paraId="286DBFF2">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只</w:t>
            </w:r>
          </w:p>
        </w:tc>
        <w:tc>
          <w:tcPr>
            <w:tcW w:w="818" w:type="dxa"/>
            <w:tcBorders>
              <w:top w:val="single" w:color="auto" w:sz="8" w:space="0"/>
              <w:left w:val="nil"/>
              <w:bottom w:val="single" w:color="auto" w:sz="8" w:space="0"/>
              <w:right w:val="single" w:color="auto" w:sz="8" w:space="0"/>
            </w:tcBorders>
            <w:noWrap w:val="0"/>
            <w:vAlign w:val="center"/>
          </w:tcPr>
          <w:p w14:paraId="42356E88">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c>
          <w:tcPr>
            <w:tcW w:w="733" w:type="dxa"/>
            <w:tcBorders>
              <w:top w:val="single" w:color="auto" w:sz="8" w:space="0"/>
              <w:left w:val="nil"/>
              <w:bottom w:val="single" w:color="auto" w:sz="8" w:space="0"/>
              <w:right w:val="single" w:color="auto" w:sz="8" w:space="0"/>
            </w:tcBorders>
            <w:noWrap w:val="0"/>
            <w:vAlign w:val="center"/>
          </w:tcPr>
          <w:p w14:paraId="1EF9598C">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r>
      <w:tr w14:paraId="266E1C8A">
        <w:tblPrEx>
          <w:tblCellMar>
            <w:top w:w="0" w:type="dxa"/>
            <w:left w:w="108" w:type="dxa"/>
            <w:bottom w:w="0" w:type="dxa"/>
            <w:right w:w="108" w:type="dxa"/>
          </w:tblCellMar>
        </w:tblPrEx>
        <w:trPr>
          <w:trHeight w:val="136" w:hRule="atLeast"/>
        </w:trPr>
        <w:tc>
          <w:tcPr>
            <w:tcW w:w="2442" w:type="dxa"/>
            <w:vMerge w:val="continue"/>
            <w:tcBorders>
              <w:left w:val="single" w:color="000000" w:sz="8" w:space="0"/>
              <w:right w:val="single" w:color="auto" w:sz="8" w:space="0"/>
            </w:tcBorders>
            <w:noWrap/>
            <w:vAlign w:val="center"/>
          </w:tcPr>
          <w:p w14:paraId="145BD9AA">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宋体"/>
                <w:bCs/>
                <w:kern w:val="0"/>
                <w:sz w:val="24"/>
                <w:szCs w:val="24"/>
                <w:lang w:eastAsia="zh-CN"/>
              </w:rPr>
            </w:pPr>
          </w:p>
        </w:tc>
        <w:tc>
          <w:tcPr>
            <w:tcW w:w="742" w:type="dxa"/>
            <w:tcBorders>
              <w:top w:val="single" w:color="auto" w:sz="8" w:space="0"/>
              <w:left w:val="nil"/>
              <w:bottom w:val="single" w:color="auto" w:sz="8" w:space="0"/>
              <w:right w:val="single" w:color="auto" w:sz="8" w:space="0"/>
            </w:tcBorders>
            <w:noWrap w:val="0"/>
            <w:vAlign w:val="center"/>
          </w:tcPr>
          <w:p w14:paraId="2505E303">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2727" w:type="dxa"/>
            <w:gridSpan w:val="2"/>
            <w:tcBorders>
              <w:top w:val="single" w:color="auto" w:sz="8" w:space="0"/>
              <w:left w:val="nil"/>
              <w:bottom w:val="single" w:color="auto" w:sz="8" w:space="0"/>
              <w:right w:val="single" w:color="auto" w:sz="8" w:space="0"/>
            </w:tcBorders>
            <w:noWrap w:val="0"/>
            <w:vAlign w:val="center"/>
          </w:tcPr>
          <w:p w14:paraId="34FACA82">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停车管理模块</w:t>
            </w:r>
          </w:p>
        </w:tc>
        <w:tc>
          <w:tcPr>
            <w:tcW w:w="742" w:type="dxa"/>
            <w:tcBorders>
              <w:top w:val="single" w:color="auto" w:sz="8" w:space="0"/>
              <w:left w:val="nil"/>
              <w:bottom w:val="single" w:color="auto" w:sz="8" w:space="0"/>
              <w:right w:val="single" w:color="auto" w:sz="8" w:space="0"/>
            </w:tcBorders>
            <w:noWrap w:val="0"/>
            <w:vAlign w:val="center"/>
          </w:tcPr>
          <w:p w14:paraId="1CC8A9A8">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c>
          <w:tcPr>
            <w:tcW w:w="717" w:type="dxa"/>
            <w:tcBorders>
              <w:top w:val="single" w:color="auto" w:sz="8" w:space="0"/>
              <w:left w:val="nil"/>
              <w:bottom w:val="single" w:color="auto" w:sz="8" w:space="0"/>
              <w:right w:val="single" w:color="auto" w:sz="8" w:space="0"/>
            </w:tcBorders>
            <w:noWrap w:val="0"/>
            <w:vAlign w:val="center"/>
          </w:tcPr>
          <w:p w14:paraId="4A649C84">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套</w:t>
            </w:r>
          </w:p>
        </w:tc>
        <w:tc>
          <w:tcPr>
            <w:tcW w:w="818" w:type="dxa"/>
            <w:tcBorders>
              <w:top w:val="single" w:color="auto" w:sz="8" w:space="0"/>
              <w:left w:val="nil"/>
              <w:bottom w:val="single" w:color="auto" w:sz="8" w:space="0"/>
              <w:right w:val="single" w:color="auto" w:sz="8" w:space="0"/>
            </w:tcBorders>
            <w:noWrap w:val="0"/>
            <w:vAlign w:val="center"/>
          </w:tcPr>
          <w:p w14:paraId="10559AE2">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c>
          <w:tcPr>
            <w:tcW w:w="733" w:type="dxa"/>
            <w:tcBorders>
              <w:top w:val="single" w:color="auto" w:sz="8" w:space="0"/>
              <w:left w:val="nil"/>
              <w:bottom w:val="single" w:color="auto" w:sz="8" w:space="0"/>
              <w:right w:val="single" w:color="auto" w:sz="8" w:space="0"/>
            </w:tcBorders>
            <w:noWrap w:val="0"/>
            <w:vAlign w:val="center"/>
          </w:tcPr>
          <w:p w14:paraId="409B5A84">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r>
      <w:tr w14:paraId="44F8AEE2">
        <w:tblPrEx>
          <w:tblCellMar>
            <w:top w:w="0" w:type="dxa"/>
            <w:left w:w="108" w:type="dxa"/>
            <w:bottom w:w="0" w:type="dxa"/>
            <w:right w:w="108" w:type="dxa"/>
          </w:tblCellMar>
        </w:tblPrEx>
        <w:trPr>
          <w:trHeight w:val="136" w:hRule="atLeast"/>
        </w:trPr>
        <w:tc>
          <w:tcPr>
            <w:tcW w:w="2442" w:type="dxa"/>
            <w:vMerge w:val="continue"/>
            <w:tcBorders>
              <w:left w:val="single" w:color="000000" w:sz="8" w:space="0"/>
              <w:right w:val="single" w:color="auto" w:sz="8" w:space="0"/>
            </w:tcBorders>
            <w:noWrap/>
            <w:vAlign w:val="center"/>
          </w:tcPr>
          <w:p w14:paraId="35067AE5">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宋体"/>
                <w:bCs/>
                <w:kern w:val="0"/>
                <w:sz w:val="24"/>
                <w:szCs w:val="24"/>
                <w:lang w:eastAsia="zh-CN"/>
              </w:rPr>
            </w:pPr>
          </w:p>
        </w:tc>
        <w:tc>
          <w:tcPr>
            <w:tcW w:w="742" w:type="dxa"/>
            <w:tcBorders>
              <w:top w:val="single" w:color="auto" w:sz="8" w:space="0"/>
              <w:left w:val="nil"/>
              <w:bottom w:val="single" w:color="auto" w:sz="8" w:space="0"/>
              <w:right w:val="single" w:color="auto" w:sz="8" w:space="0"/>
            </w:tcBorders>
            <w:noWrap w:val="0"/>
            <w:vAlign w:val="center"/>
          </w:tcPr>
          <w:p w14:paraId="06BDF4F3">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6</w:t>
            </w:r>
          </w:p>
        </w:tc>
        <w:tc>
          <w:tcPr>
            <w:tcW w:w="2727" w:type="dxa"/>
            <w:gridSpan w:val="2"/>
            <w:tcBorders>
              <w:top w:val="single" w:color="auto" w:sz="8" w:space="0"/>
              <w:left w:val="nil"/>
              <w:bottom w:val="single" w:color="auto" w:sz="8" w:space="0"/>
              <w:right w:val="single" w:color="auto" w:sz="8" w:space="0"/>
            </w:tcBorders>
            <w:noWrap w:val="0"/>
            <w:vAlign w:val="center"/>
          </w:tcPr>
          <w:p w14:paraId="29F484E6">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停车管理电子支付</w:t>
            </w:r>
          </w:p>
        </w:tc>
        <w:tc>
          <w:tcPr>
            <w:tcW w:w="742" w:type="dxa"/>
            <w:tcBorders>
              <w:top w:val="single" w:color="auto" w:sz="8" w:space="0"/>
              <w:left w:val="nil"/>
              <w:bottom w:val="single" w:color="auto" w:sz="8" w:space="0"/>
              <w:right w:val="single" w:color="auto" w:sz="8" w:space="0"/>
            </w:tcBorders>
            <w:noWrap w:val="0"/>
            <w:vAlign w:val="center"/>
          </w:tcPr>
          <w:p w14:paraId="78E0B4B0">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c>
          <w:tcPr>
            <w:tcW w:w="717" w:type="dxa"/>
            <w:tcBorders>
              <w:top w:val="single" w:color="auto" w:sz="8" w:space="0"/>
              <w:left w:val="nil"/>
              <w:bottom w:val="single" w:color="auto" w:sz="8" w:space="0"/>
              <w:right w:val="single" w:color="auto" w:sz="8" w:space="0"/>
            </w:tcBorders>
            <w:noWrap w:val="0"/>
            <w:vAlign w:val="center"/>
          </w:tcPr>
          <w:p w14:paraId="5624943A">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项</w:t>
            </w:r>
          </w:p>
        </w:tc>
        <w:tc>
          <w:tcPr>
            <w:tcW w:w="818" w:type="dxa"/>
            <w:tcBorders>
              <w:top w:val="single" w:color="auto" w:sz="8" w:space="0"/>
              <w:left w:val="nil"/>
              <w:bottom w:val="single" w:color="auto" w:sz="8" w:space="0"/>
              <w:right w:val="single" w:color="auto" w:sz="8" w:space="0"/>
            </w:tcBorders>
            <w:noWrap w:val="0"/>
            <w:vAlign w:val="center"/>
          </w:tcPr>
          <w:p w14:paraId="619FC61A">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c>
          <w:tcPr>
            <w:tcW w:w="733" w:type="dxa"/>
            <w:tcBorders>
              <w:top w:val="single" w:color="auto" w:sz="8" w:space="0"/>
              <w:left w:val="nil"/>
              <w:bottom w:val="single" w:color="auto" w:sz="8" w:space="0"/>
              <w:right w:val="single" w:color="auto" w:sz="8" w:space="0"/>
            </w:tcBorders>
            <w:noWrap w:val="0"/>
            <w:vAlign w:val="center"/>
          </w:tcPr>
          <w:p w14:paraId="1E479677">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r>
      <w:tr w14:paraId="617DCCBE">
        <w:tblPrEx>
          <w:tblCellMar>
            <w:top w:w="0" w:type="dxa"/>
            <w:left w:w="108" w:type="dxa"/>
            <w:bottom w:w="0" w:type="dxa"/>
            <w:right w:w="108" w:type="dxa"/>
          </w:tblCellMar>
        </w:tblPrEx>
        <w:trPr>
          <w:trHeight w:val="136" w:hRule="atLeast"/>
        </w:trPr>
        <w:tc>
          <w:tcPr>
            <w:tcW w:w="2442" w:type="dxa"/>
            <w:vMerge w:val="continue"/>
            <w:tcBorders>
              <w:left w:val="single" w:color="000000" w:sz="8" w:space="0"/>
              <w:right w:val="single" w:color="auto" w:sz="8" w:space="0"/>
            </w:tcBorders>
            <w:noWrap/>
            <w:vAlign w:val="center"/>
          </w:tcPr>
          <w:p w14:paraId="3EF835DB">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宋体"/>
                <w:bCs/>
                <w:kern w:val="0"/>
                <w:sz w:val="24"/>
                <w:szCs w:val="24"/>
                <w:lang w:eastAsia="zh-CN"/>
              </w:rPr>
            </w:pPr>
          </w:p>
        </w:tc>
        <w:tc>
          <w:tcPr>
            <w:tcW w:w="742" w:type="dxa"/>
            <w:tcBorders>
              <w:top w:val="single" w:color="auto" w:sz="8" w:space="0"/>
              <w:left w:val="nil"/>
              <w:bottom w:val="single" w:color="auto" w:sz="8" w:space="0"/>
              <w:right w:val="single" w:color="auto" w:sz="8" w:space="0"/>
            </w:tcBorders>
            <w:noWrap w:val="0"/>
            <w:vAlign w:val="center"/>
          </w:tcPr>
          <w:p w14:paraId="1F6F981C">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7</w:t>
            </w:r>
          </w:p>
        </w:tc>
        <w:tc>
          <w:tcPr>
            <w:tcW w:w="2727" w:type="dxa"/>
            <w:gridSpan w:val="2"/>
            <w:tcBorders>
              <w:top w:val="single" w:color="auto" w:sz="8" w:space="0"/>
              <w:left w:val="nil"/>
              <w:bottom w:val="single" w:color="auto" w:sz="8" w:space="0"/>
              <w:right w:val="single" w:color="auto" w:sz="8" w:space="0"/>
            </w:tcBorders>
            <w:noWrap w:val="0"/>
            <w:vAlign w:val="center"/>
          </w:tcPr>
          <w:p w14:paraId="6B61B28B">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道闸设备管理主机</w:t>
            </w:r>
          </w:p>
        </w:tc>
        <w:tc>
          <w:tcPr>
            <w:tcW w:w="742" w:type="dxa"/>
            <w:tcBorders>
              <w:top w:val="single" w:color="auto" w:sz="8" w:space="0"/>
              <w:left w:val="nil"/>
              <w:bottom w:val="single" w:color="auto" w:sz="8" w:space="0"/>
              <w:right w:val="single" w:color="auto" w:sz="8" w:space="0"/>
            </w:tcBorders>
            <w:noWrap w:val="0"/>
            <w:vAlign w:val="center"/>
          </w:tcPr>
          <w:p w14:paraId="2ABDD721">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c>
          <w:tcPr>
            <w:tcW w:w="717" w:type="dxa"/>
            <w:tcBorders>
              <w:top w:val="single" w:color="auto" w:sz="8" w:space="0"/>
              <w:left w:val="nil"/>
              <w:bottom w:val="single" w:color="auto" w:sz="8" w:space="0"/>
              <w:right w:val="single" w:color="auto" w:sz="8" w:space="0"/>
            </w:tcBorders>
            <w:noWrap w:val="0"/>
            <w:vAlign w:val="center"/>
          </w:tcPr>
          <w:p w14:paraId="49B327C5">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个</w:t>
            </w:r>
          </w:p>
        </w:tc>
        <w:tc>
          <w:tcPr>
            <w:tcW w:w="818" w:type="dxa"/>
            <w:tcBorders>
              <w:top w:val="single" w:color="auto" w:sz="8" w:space="0"/>
              <w:left w:val="nil"/>
              <w:bottom w:val="single" w:color="auto" w:sz="8" w:space="0"/>
              <w:right w:val="single" w:color="auto" w:sz="8" w:space="0"/>
            </w:tcBorders>
            <w:noWrap w:val="0"/>
            <w:vAlign w:val="center"/>
          </w:tcPr>
          <w:p w14:paraId="0FF0E434">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c>
          <w:tcPr>
            <w:tcW w:w="733" w:type="dxa"/>
            <w:tcBorders>
              <w:top w:val="single" w:color="auto" w:sz="8" w:space="0"/>
              <w:left w:val="nil"/>
              <w:bottom w:val="single" w:color="auto" w:sz="8" w:space="0"/>
              <w:right w:val="single" w:color="auto" w:sz="8" w:space="0"/>
            </w:tcBorders>
            <w:noWrap w:val="0"/>
            <w:vAlign w:val="center"/>
          </w:tcPr>
          <w:p w14:paraId="4FF84666">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r>
      <w:tr w14:paraId="00C5685F">
        <w:tblPrEx>
          <w:tblCellMar>
            <w:top w:w="0" w:type="dxa"/>
            <w:left w:w="108" w:type="dxa"/>
            <w:bottom w:w="0" w:type="dxa"/>
            <w:right w:w="108" w:type="dxa"/>
          </w:tblCellMar>
        </w:tblPrEx>
        <w:trPr>
          <w:trHeight w:val="136" w:hRule="atLeast"/>
        </w:trPr>
        <w:tc>
          <w:tcPr>
            <w:tcW w:w="2442" w:type="dxa"/>
            <w:vMerge w:val="continue"/>
            <w:tcBorders>
              <w:left w:val="single" w:color="000000" w:sz="8" w:space="0"/>
              <w:right w:val="single" w:color="auto" w:sz="8" w:space="0"/>
            </w:tcBorders>
            <w:noWrap/>
            <w:vAlign w:val="center"/>
          </w:tcPr>
          <w:p w14:paraId="32906680">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宋体"/>
                <w:bCs/>
                <w:kern w:val="0"/>
                <w:sz w:val="24"/>
                <w:szCs w:val="24"/>
                <w:lang w:eastAsia="zh-CN"/>
              </w:rPr>
            </w:pPr>
          </w:p>
        </w:tc>
        <w:tc>
          <w:tcPr>
            <w:tcW w:w="742" w:type="dxa"/>
            <w:tcBorders>
              <w:top w:val="single" w:color="auto" w:sz="8" w:space="0"/>
              <w:left w:val="nil"/>
              <w:bottom w:val="single" w:color="auto" w:sz="8" w:space="0"/>
              <w:right w:val="single" w:color="auto" w:sz="8" w:space="0"/>
            </w:tcBorders>
            <w:noWrap w:val="0"/>
            <w:vAlign w:val="center"/>
          </w:tcPr>
          <w:p w14:paraId="0A54CE0E">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8</w:t>
            </w:r>
          </w:p>
        </w:tc>
        <w:tc>
          <w:tcPr>
            <w:tcW w:w="2727" w:type="dxa"/>
            <w:gridSpan w:val="2"/>
            <w:tcBorders>
              <w:top w:val="single" w:color="auto" w:sz="8" w:space="0"/>
              <w:left w:val="nil"/>
              <w:bottom w:val="single" w:color="auto" w:sz="8" w:space="0"/>
              <w:right w:val="single" w:color="auto" w:sz="8" w:space="0"/>
            </w:tcBorders>
            <w:noWrap w:val="0"/>
            <w:vAlign w:val="center"/>
          </w:tcPr>
          <w:p w14:paraId="61017A14">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辅材</w:t>
            </w:r>
          </w:p>
        </w:tc>
        <w:tc>
          <w:tcPr>
            <w:tcW w:w="742" w:type="dxa"/>
            <w:tcBorders>
              <w:top w:val="single" w:color="auto" w:sz="8" w:space="0"/>
              <w:left w:val="nil"/>
              <w:bottom w:val="single" w:color="auto" w:sz="8" w:space="0"/>
              <w:right w:val="single" w:color="auto" w:sz="8" w:space="0"/>
            </w:tcBorders>
            <w:noWrap w:val="0"/>
            <w:vAlign w:val="center"/>
          </w:tcPr>
          <w:p w14:paraId="7DED2766">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c>
          <w:tcPr>
            <w:tcW w:w="717" w:type="dxa"/>
            <w:tcBorders>
              <w:top w:val="single" w:color="auto" w:sz="8" w:space="0"/>
              <w:left w:val="nil"/>
              <w:bottom w:val="single" w:color="auto" w:sz="8" w:space="0"/>
              <w:right w:val="single" w:color="auto" w:sz="8" w:space="0"/>
            </w:tcBorders>
            <w:noWrap w:val="0"/>
            <w:vAlign w:val="center"/>
          </w:tcPr>
          <w:p w14:paraId="32E1B62E">
            <w:pPr>
              <w:keepNext w:val="0"/>
              <w:keepLines w:val="0"/>
              <w:widowControl/>
              <w:suppressLineNumbers w:val="0"/>
              <w:jc w:val="center"/>
              <w:textAlignment w:val="center"/>
              <w:rPr>
                <w:rFonts w:hint="eastAsia" w:ascii="仿宋" w:hAnsi="仿宋" w:eastAsia="仿宋" w:cs="宋体"/>
                <w:bCs/>
                <w:kern w:val="0"/>
                <w:sz w:val="24"/>
                <w:szCs w:val="24"/>
                <w:lang w:eastAsia="zh-CN"/>
              </w:rPr>
            </w:pPr>
            <w:r>
              <w:rPr>
                <w:rFonts w:hint="eastAsia" w:ascii="仿宋" w:hAnsi="仿宋" w:eastAsia="仿宋" w:cs="仿宋"/>
                <w:i w:val="0"/>
                <w:iCs w:val="0"/>
                <w:color w:val="000000"/>
                <w:kern w:val="0"/>
                <w:sz w:val="24"/>
                <w:szCs w:val="24"/>
                <w:u w:val="none"/>
                <w:lang w:val="en-US" w:eastAsia="zh-CN" w:bidi="ar"/>
              </w:rPr>
              <w:t>项</w:t>
            </w:r>
          </w:p>
        </w:tc>
        <w:tc>
          <w:tcPr>
            <w:tcW w:w="818" w:type="dxa"/>
            <w:tcBorders>
              <w:top w:val="single" w:color="auto" w:sz="8" w:space="0"/>
              <w:left w:val="nil"/>
              <w:bottom w:val="single" w:color="auto" w:sz="8" w:space="0"/>
              <w:right w:val="single" w:color="auto" w:sz="8" w:space="0"/>
            </w:tcBorders>
            <w:noWrap w:val="0"/>
            <w:vAlign w:val="center"/>
          </w:tcPr>
          <w:p w14:paraId="04F73431">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c>
          <w:tcPr>
            <w:tcW w:w="733" w:type="dxa"/>
            <w:tcBorders>
              <w:top w:val="single" w:color="auto" w:sz="8" w:space="0"/>
              <w:left w:val="nil"/>
              <w:bottom w:val="single" w:color="auto" w:sz="8" w:space="0"/>
              <w:right w:val="single" w:color="auto" w:sz="8" w:space="0"/>
            </w:tcBorders>
            <w:noWrap w:val="0"/>
            <w:vAlign w:val="center"/>
          </w:tcPr>
          <w:p w14:paraId="30FA082F">
            <w:pPr>
              <w:keepNext w:val="0"/>
              <w:keepLines w:val="0"/>
              <w:widowControl/>
              <w:suppressLineNumbers w:val="0"/>
              <w:jc w:val="center"/>
              <w:textAlignment w:val="center"/>
              <w:rPr>
                <w:rFonts w:hint="eastAsia" w:ascii="仿宋" w:hAnsi="仿宋" w:eastAsia="仿宋" w:cs="宋体"/>
                <w:bCs/>
                <w:kern w:val="0"/>
                <w:sz w:val="24"/>
                <w:szCs w:val="24"/>
                <w:lang w:eastAsia="zh-CN"/>
              </w:rPr>
            </w:pPr>
          </w:p>
        </w:tc>
      </w:tr>
      <w:tr w14:paraId="480C19F5">
        <w:tblPrEx>
          <w:tblCellMar>
            <w:top w:w="0" w:type="dxa"/>
            <w:left w:w="108" w:type="dxa"/>
            <w:bottom w:w="0" w:type="dxa"/>
            <w:right w:w="108" w:type="dxa"/>
          </w:tblCellMar>
        </w:tblPrEx>
        <w:trPr>
          <w:trHeight w:val="136" w:hRule="atLeast"/>
        </w:trPr>
        <w:tc>
          <w:tcPr>
            <w:tcW w:w="2442" w:type="dxa"/>
            <w:vMerge w:val="continue"/>
            <w:tcBorders>
              <w:left w:val="single" w:color="000000" w:sz="8" w:space="0"/>
              <w:right w:val="single" w:color="auto" w:sz="8" w:space="0"/>
            </w:tcBorders>
            <w:noWrap/>
            <w:vAlign w:val="center"/>
          </w:tcPr>
          <w:p w14:paraId="161DEEA9">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宋体"/>
                <w:bCs/>
                <w:kern w:val="0"/>
                <w:sz w:val="24"/>
                <w:szCs w:val="24"/>
                <w:lang w:eastAsia="zh-CN"/>
              </w:rPr>
            </w:pPr>
          </w:p>
        </w:tc>
        <w:tc>
          <w:tcPr>
            <w:tcW w:w="742" w:type="dxa"/>
            <w:tcBorders>
              <w:top w:val="single" w:color="auto" w:sz="8" w:space="0"/>
              <w:left w:val="nil"/>
              <w:bottom w:val="single" w:color="auto" w:sz="8" w:space="0"/>
              <w:right w:val="single" w:color="auto" w:sz="8" w:space="0"/>
            </w:tcBorders>
            <w:noWrap w:val="0"/>
            <w:vAlign w:val="center"/>
          </w:tcPr>
          <w:p w14:paraId="497C81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727" w:type="dxa"/>
            <w:gridSpan w:val="2"/>
            <w:tcBorders>
              <w:top w:val="single" w:color="auto" w:sz="8" w:space="0"/>
              <w:left w:val="nil"/>
              <w:bottom w:val="single" w:color="auto" w:sz="8" w:space="0"/>
              <w:right w:val="single" w:color="auto" w:sz="8" w:space="0"/>
            </w:tcBorders>
            <w:noWrap w:val="0"/>
            <w:vAlign w:val="center"/>
          </w:tcPr>
          <w:p w14:paraId="6760A3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安装调试</w:t>
            </w:r>
          </w:p>
        </w:tc>
        <w:tc>
          <w:tcPr>
            <w:tcW w:w="742" w:type="dxa"/>
            <w:tcBorders>
              <w:top w:val="single" w:color="auto" w:sz="8" w:space="0"/>
              <w:left w:val="nil"/>
              <w:bottom w:val="single" w:color="auto" w:sz="8" w:space="0"/>
              <w:right w:val="single" w:color="auto" w:sz="8" w:space="0"/>
            </w:tcBorders>
            <w:noWrap w:val="0"/>
            <w:vAlign w:val="center"/>
          </w:tcPr>
          <w:p w14:paraId="5CCB00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17" w:type="dxa"/>
            <w:tcBorders>
              <w:top w:val="single" w:color="auto" w:sz="8" w:space="0"/>
              <w:left w:val="nil"/>
              <w:bottom w:val="single" w:color="auto" w:sz="8" w:space="0"/>
              <w:right w:val="single" w:color="auto" w:sz="8" w:space="0"/>
            </w:tcBorders>
            <w:noWrap w:val="0"/>
            <w:vAlign w:val="center"/>
          </w:tcPr>
          <w:p w14:paraId="2FB096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818" w:type="dxa"/>
            <w:tcBorders>
              <w:top w:val="single" w:color="auto" w:sz="8" w:space="0"/>
              <w:left w:val="nil"/>
              <w:bottom w:val="single" w:color="auto" w:sz="8" w:space="0"/>
              <w:right w:val="single" w:color="auto" w:sz="8" w:space="0"/>
            </w:tcBorders>
            <w:noWrap w:val="0"/>
            <w:vAlign w:val="center"/>
          </w:tcPr>
          <w:p w14:paraId="4856C86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33" w:type="dxa"/>
            <w:tcBorders>
              <w:top w:val="single" w:color="auto" w:sz="8" w:space="0"/>
              <w:left w:val="nil"/>
              <w:bottom w:val="single" w:color="auto" w:sz="8" w:space="0"/>
              <w:right w:val="single" w:color="auto" w:sz="8" w:space="0"/>
            </w:tcBorders>
            <w:noWrap w:val="0"/>
            <w:vAlign w:val="center"/>
          </w:tcPr>
          <w:p w14:paraId="2FAB223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533F4328">
        <w:tblPrEx>
          <w:tblCellMar>
            <w:top w:w="0" w:type="dxa"/>
            <w:left w:w="108" w:type="dxa"/>
            <w:bottom w:w="0" w:type="dxa"/>
            <w:right w:w="108" w:type="dxa"/>
          </w:tblCellMar>
        </w:tblPrEx>
        <w:trPr>
          <w:trHeight w:val="136" w:hRule="atLeast"/>
        </w:trPr>
        <w:tc>
          <w:tcPr>
            <w:tcW w:w="2442" w:type="dxa"/>
            <w:vMerge w:val="continue"/>
            <w:tcBorders>
              <w:left w:val="single" w:color="000000" w:sz="8" w:space="0"/>
              <w:bottom w:val="single" w:color="000000" w:sz="8" w:space="0"/>
              <w:right w:val="single" w:color="auto" w:sz="8" w:space="0"/>
            </w:tcBorders>
            <w:noWrap/>
            <w:vAlign w:val="center"/>
          </w:tcPr>
          <w:p w14:paraId="7E71B5DD">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宋体"/>
                <w:bCs/>
                <w:kern w:val="0"/>
                <w:sz w:val="24"/>
                <w:szCs w:val="24"/>
                <w:lang w:eastAsia="zh-CN"/>
              </w:rPr>
            </w:pPr>
          </w:p>
        </w:tc>
        <w:tc>
          <w:tcPr>
            <w:tcW w:w="742" w:type="dxa"/>
            <w:tcBorders>
              <w:top w:val="single" w:color="auto" w:sz="8" w:space="0"/>
              <w:left w:val="nil"/>
              <w:bottom w:val="single" w:color="auto" w:sz="8" w:space="0"/>
              <w:right w:val="single" w:color="auto" w:sz="8" w:space="0"/>
            </w:tcBorders>
            <w:noWrap w:val="0"/>
            <w:vAlign w:val="center"/>
          </w:tcPr>
          <w:p w14:paraId="14FCEB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5004" w:type="dxa"/>
            <w:gridSpan w:val="5"/>
            <w:tcBorders>
              <w:top w:val="single" w:color="auto" w:sz="8" w:space="0"/>
              <w:left w:val="nil"/>
              <w:bottom w:val="single" w:color="auto" w:sz="8" w:space="0"/>
              <w:right w:val="single" w:color="auto" w:sz="8" w:space="0"/>
            </w:tcBorders>
            <w:noWrap w:val="0"/>
            <w:vAlign w:val="center"/>
          </w:tcPr>
          <w:p w14:paraId="32C2A01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合计</w:t>
            </w:r>
          </w:p>
        </w:tc>
        <w:tc>
          <w:tcPr>
            <w:tcW w:w="733" w:type="dxa"/>
            <w:tcBorders>
              <w:top w:val="single" w:color="auto" w:sz="8" w:space="0"/>
              <w:left w:val="nil"/>
              <w:bottom w:val="single" w:color="auto" w:sz="8" w:space="0"/>
              <w:right w:val="single" w:color="auto" w:sz="8" w:space="0"/>
            </w:tcBorders>
            <w:noWrap w:val="0"/>
            <w:vAlign w:val="center"/>
          </w:tcPr>
          <w:p w14:paraId="003E104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bl>
    <w:p w14:paraId="3FC79CCB">
      <w:pPr>
        <w:keepNext w:val="0"/>
        <w:keepLines w:val="0"/>
        <w:pageBreakBefore w:val="0"/>
        <w:widowControl w:val="0"/>
        <w:kinsoku/>
        <w:wordWrap/>
        <w:overflowPunct/>
        <w:topLinePunct w:val="0"/>
        <w:autoSpaceDE/>
        <w:autoSpaceDN/>
        <w:bidi w:val="0"/>
        <w:adjustRightInd/>
        <w:snapToGrid w:val="0"/>
        <w:spacing w:line="360" w:lineRule="auto"/>
        <w:ind w:firstLine="723" w:firstLineChars="300"/>
        <w:textAlignment w:val="auto"/>
        <w:rPr>
          <w:rFonts w:hint="eastAsia" w:ascii="微软雅黑" w:hAnsi="微软雅黑" w:cs="宋体"/>
          <w:color w:val="333333"/>
          <w:sz w:val="24"/>
          <w:szCs w:val="24"/>
        </w:rPr>
      </w:pPr>
      <w:r>
        <w:rPr>
          <w:rFonts w:hint="eastAsia" w:ascii="微软雅黑" w:hAnsi="微软雅黑" w:cs="宋体"/>
          <w:b/>
          <w:bCs/>
          <w:color w:val="E54C5E" w:themeColor="accent6"/>
          <w:sz w:val="24"/>
          <w:szCs w:val="24"/>
          <w14:textFill>
            <w14:solidFill>
              <w14:schemeClr w14:val="accent6"/>
            </w14:solidFill>
          </w14:textFill>
        </w:rPr>
        <w:t>注意事项：</w:t>
      </w:r>
      <w:r>
        <w:rPr>
          <w:rFonts w:hint="eastAsia" w:ascii="微软雅黑" w:hAnsi="微软雅黑" w:cs="宋体"/>
          <w:color w:val="333333"/>
          <w:sz w:val="24"/>
          <w:szCs w:val="24"/>
        </w:rPr>
        <w:br w:type="textWrapping"/>
      </w:r>
      <w:r>
        <w:rPr>
          <w:rFonts w:hint="eastAsia" w:ascii="微软雅黑" w:hAnsi="微软雅黑" w:cs="宋体"/>
          <w:color w:val="333333"/>
          <w:sz w:val="24"/>
          <w:szCs w:val="24"/>
        </w:rPr>
        <w:t>       1、报价填写需清晰，否则视为无效投标。</w:t>
      </w:r>
      <w:r>
        <w:rPr>
          <w:rFonts w:hint="eastAsia" w:ascii="微软雅黑" w:hAnsi="微软雅黑" w:cs="宋体"/>
          <w:color w:val="333333"/>
          <w:sz w:val="24"/>
          <w:szCs w:val="24"/>
        </w:rPr>
        <w:br w:type="textWrapping"/>
      </w:r>
      <w:r>
        <w:rPr>
          <w:rFonts w:hint="eastAsia" w:ascii="微软雅黑" w:hAnsi="微软雅黑" w:cs="宋体"/>
          <w:color w:val="333333"/>
          <w:sz w:val="24"/>
          <w:szCs w:val="24"/>
        </w:rPr>
        <w:t>       2、投标材料需密封，封面注明项目名称、公司名称、联系人及电话，现场送达或物流送达（需密封，然后再包装邮寄）。</w:t>
      </w:r>
      <w:r>
        <w:rPr>
          <w:rFonts w:hint="eastAsia" w:ascii="微软雅黑" w:hAnsi="微软雅黑" w:cs="宋体"/>
          <w:color w:val="333333"/>
          <w:sz w:val="24"/>
          <w:szCs w:val="24"/>
        </w:rPr>
        <w:br w:type="textWrapping"/>
      </w:r>
      <w:r>
        <w:rPr>
          <w:rFonts w:hint="eastAsia" w:ascii="微软雅黑" w:hAnsi="微软雅黑" w:cs="宋体"/>
          <w:color w:val="333333"/>
          <w:sz w:val="24"/>
          <w:szCs w:val="24"/>
        </w:rPr>
        <w:t>       3、中标人需在中标后五个工作日内联系医院签约，否则视为放弃中标。</w:t>
      </w:r>
      <w:r>
        <w:rPr>
          <w:rFonts w:hint="eastAsia" w:ascii="微软雅黑" w:hAnsi="微软雅黑" w:cs="宋体"/>
          <w:color w:val="333333"/>
          <w:sz w:val="24"/>
          <w:szCs w:val="24"/>
        </w:rPr>
        <w:br w:type="textWrapping"/>
      </w:r>
      <w:r>
        <w:rPr>
          <w:rFonts w:hint="eastAsia" w:ascii="微软雅黑" w:hAnsi="微软雅黑" w:cs="宋体"/>
          <w:color w:val="333333"/>
          <w:sz w:val="24"/>
          <w:szCs w:val="24"/>
        </w:rPr>
        <w:t>       4、医院不组织集中踏勘，如需自行踏勘，可联系</w:t>
      </w:r>
      <w:r>
        <w:rPr>
          <w:rFonts w:hint="eastAsia" w:ascii="微软雅黑" w:hAnsi="微软雅黑" w:cs="宋体"/>
          <w:color w:val="333333"/>
          <w:sz w:val="24"/>
          <w:szCs w:val="24"/>
          <w:lang w:val="en-US" w:eastAsia="zh-CN"/>
        </w:rPr>
        <w:t>保卫科许老师</w:t>
      </w:r>
      <w:r>
        <w:rPr>
          <w:rFonts w:hint="eastAsia" w:ascii="微软雅黑" w:hAnsi="微软雅黑" w:cs="宋体"/>
          <w:color w:val="333333"/>
          <w:sz w:val="24"/>
          <w:szCs w:val="24"/>
        </w:rPr>
        <w:t>，联系电话</w:t>
      </w:r>
      <w:r>
        <w:rPr>
          <w:rFonts w:hint="eastAsia" w:ascii="微软雅黑" w:hAnsi="微软雅黑" w:cs="宋体"/>
          <w:color w:val="333333"/>
          <w:sz w:val="24"/>
          <w:szCs w:val="24"/>
          <w:lang w:val="en-US" w:eastAsia="zh-CN"/>
        </w:rPr>
        <w:t>18151321333</w:t>
      </w:r>
      <w:r>
        <w:rPr>
          <w:rFonts w:hint="eastAsia" w:ascii="微软雅黑" w:hAnsi="微软雅黑" w:cs="宋体"/>
          <w:color w:val="333333"/>
          <w:sz w:val="24"/>
          <w:szCs w:val="24"/>
        </w:rPr>
        <w:t>。</w:t>
      </w:r>
    </w:p>
    <w:p w14:paraId="798D560D">
      <w:pPr>
        <w:pStyle w:val="6"/>
        <w:numPr>
          <w:ilvl w:val="0"/>
          <w:numId w:val="0"/>
        </w:numPr>
        <w:rPr>
          <w:rFonts w:hint="default" w:ascii="宋体" w:eastAsia="宋体" w:cs="宋体"/>
          <w:b/>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EC42">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9FD16"/>
    <w:multiLevelType w:val="singleLevel"/>
    <w:tmpl w:val="88B9FD16"/>
    <w:lvl w:ilvl="0" w:tentative="0">
      <w:start w:val="6"/>
      <w:numFmt w:val="decimal"/>
      <w:suff w:val="nothing"/>
      <w:lvlText w:val="%1、"/>
      <w:lvlJc w:val="left"/>
    </w:lvl>
  </w:abstractNum>
  <w:abstractNum w:abstractNumId="1">
    <w:nsid w:val="CFE6ACCE"/>
    <w:multiLevelType w:val="singleLevel"/>
    <w:tmpl w:val="CFE6ACCE"/>
    <w:lvl w:ilvl="0" w:tentative="0">
      <w:start w:val="1"/>
      <w:numFmt w:val="decimal"/>
      <w:suff w:val="nothing"/>
      <w:lvlText w:val="%1、"/>
      <w:lvlJc w:val="left"/>
    </w:lvl>
  </w:abstractNum>
  <w:abstractNum w:abstractNumId="2">
    <w:nsid w:val="0A6E56CA"/>
    <w:multiLevelType w:val="singleLevel"/>
    <w:tmpl w:val="0A6E56C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A5"/>
    <w:rsid w:val="00067309"/>
    <w:rsid w:val="000F3ACB"/>
    <w:rsid w:val="002774B8"/>
    <w:rsid w:val="00482320"/>
    <w:rsid w:val="00624174"/>
    <w:rsid w:val="006660EF"/>
    <w:rsid w:val="006D5A24"/>
    <w:rsid w:val="00755C6A"/>
    <w:rsid w:val="00815C4D"/>
    <w:rsid w:val="008507C3"/>
    <w:rsid w:val="008646AC"/>
    <w:rsid w:val="00905C22"/>
    <w:rsid w:val="009843ED"/>
    <w:rsid w:val="00A73B58"/>
    <w:rsid w:val="00A977D7"/>
    <w:rsid w:val="00B04385"/>
    <w:rsid w:val="00B70C24"/>
    <w:rsid w:val="00C427BF"/>
    <w:rsid w:val="00D368EE"/>
    <w:rsid w:val="00D407A5"/>
    <w:rsid w:val="00DA6291"/>
    <w:rsid w:val="00E52D24"/>
    <w:rsid w:val="00ED3B99"/>
    <w:rsid w:val="00EF2DA6"/>
    <w:rsid w:val="00F66887"/>
    <w:rsid w:val="03EF74F4"/>
    <w:rsid w:val="0F646302"/>
    <w:rsid w:val="154A31FD"/>
    <w:rsid w:val="17C91685"/>
    <w:rsid w:val="20CF5A3F"/>
    <w:rsid w:val="245B126C"/>
    <w:rsid w:val="249E6CBA"/>
    <w:rsid w:val="25E925D1"/>
    <w:rsid w:val="29ED080E"/>
    <w:rsid w:val="2D1D179A"/>
    <w:rsid w:val="33234BF4"/>
    <w:rsid w:val="3BE20C32"/>
    <w:rsid w:val="45CE7BD5"/>
    <w:rsid w:val="482C465C"/>
    <w:rsid w:val="48847404"/>
    <w:rsid w:val="4C5E6D05"/>
    <w:rsid w:val="4D3B2A2D"/>
    <w:rsid w:val="55766705"/>
    <w:rsid w:val="796B4CD4"/>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520" w:lineRule="exact"/>
      <w:ind w:left="570"/>
    </w:pPr>
    <w:rPr>
      <w:rFonts w:hint="eastAsia" w:ascii="楷体_GB2312"/>
    </w:rPr>
  </w:style>
  <w:style w:type="paragraph" w:styleId="3">
    <w:name w:val="envelope return"/>
    <w:basedOn w:val="1"/>
    <w:unhideWhenUsed/>
    <w:qFormat/>
    <w:uiPriority w:val="99"/>
    <w:pPr>
      <w:snapToGrid w:val="0"/>
    </w:pPr>
    <w:rPr>
      <w:rFonts w:ascii="Arial" w:hAnsi="Arial"/>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Body Text Indent 3"/>
    <w:basedOn w:val="1"/>
    <w:qFormat/>
    <w:uiPriority w:val="0"/>
    <w:pPr>
      <w:spacing w:line="360" w:lineRule="auto"/>
      <w:ind w:firstLine="617" w:firstLineChars="257"/>
    </w:pPr>
    <w:rPr>
      <w:rFonts w:eastAsia="宋体"/>
      <w:sz w:val="24"/>
      <w:szCs w:val="24"/>
    </w:rPr>
  </w:style>
  <w:style w:type="paragraph" w:styleId="7">
    <w:name w:val="Body Text First Indent 2"/>
    <w:basedOn w:val="2"/>
    <w:next w:val="6"/>
    <w:unhideWhenUsed/>
    <w:qFormat/>
    <w:uiPriority w:val="0"/>
    <w:pPr>
      <w:ind w:firstLine="420" w:firstLineChars="200"/>
    </w:pPr>
  </w:style>
  <w:style w:type="paragraph" w:customStyle="1" w:styleId="1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11">
    <w:name w:val="页脚 字符"/>
    <w:basedOn w:val="9"/>
    <w:link w:val="4"/>
    <w:qFormat/>
    <w:uiPriority w:val="0"/>
    <w:rPr>
      <w:rFonts w:ascii="Times New Roman" w:hAnsi="Times New Roman" w:eastAsia="楷体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2148</Words>
  <Characters>2331</Characters>
  <Lines>89</Lines>
  <Paragraphs>25</Paragraphs>
  <TotalTime>10</TotalTime>
  <ScaleCrop>false</ScaleCrop>
  <LinksUpToDate>false</LinksUpToDate>
  <CharactersWithSpaces>2337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2025-05-13T08:09:00Z</dcterms:created>
  <dc:creator>admin</dc:creator>
  <cp:lastModifiedBy>威武老包子</cp:lastModifiedBy>
  <cp:lastPrinted>2025-07-09T06:13:00Z</cp:lastPrinted>
  <dcterms:modified xsi:type="dcterms:W3CDTF">2025-07-29T07:02:55Z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eyJoZGlkIjoiNjg4MzE5YjJkM2YzNjg3OWE2OWU2ZTc5ZjU5NDk3OGIiLCJ1c2VySWQiOiI0NTIyMzY0ODQifQ==</vt:lpwstr>
  </property>
  <property fmtid="{D5CDD505-2E9C-101B-9397-08002B2CF9AE}" pid="4" name="ICV">
    <vt:lpwstr>2D87BACC0E684C1192E3B9B3739D58F8_13</vt:lpwstr>
  </property>
</Properties>
</file>