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80C1E">
      <w:pPr>
        <w:ind w:firstLine="482" w:firstLineChars="200"/>
        <w:outlineLvl w:val="1"/>
        <w:rPr>
          <w:rFonts w:hint="eastAsia" w:cs="宋体"/>
          <w:b/>
          <w:bCs/>
          <w:lang w:val="en-US" w:eastAsia="zh-CN"/>
        </w:rPr>
      </w:pPr>
      <w:bookmarkStart w:id="0" w:name="_Toc13642116"/>
      <w:r>
        <w:rPr>
          <w:rFonts w:hint="eastAsia" w:cs="宋体"/>
          <w:b/>
          <w:bCs/>
          <w:lang w:val="en-US" w:eastAsia="zh-CN"/>
        </w:rPr>
        <w:t>采购文件</w:t>
      </w:r>
    </w:p>
    <w:p w14:paraId="6BF93783">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ind w:firstLine="482" w:firstLineChars="200"/>
        <w:textAlignment w:val="auto"/>
        <w:outlineLvl w:val="1"/>
        <w:rPr>
          <w:rFonts w:hint="eastAsia"/>
          <w:b/>
          <w:bCs/>
          <w:lang w:val="en-US" w:eastAsia="zh-CN"/>
        </w:rPr>
      </w:pPr>
      <w:r>
        <w:rPr>
          <w:rFonts w:hint="eastAsia"/>
          <w:b/>
          <w:bCs/>
          <w:lang w:val="en-US" w:eastAsia="zh-CN"/>
        </w:rPr>
        <w:t>项目需求</w:t>
      </w:r>
    </w:p>
    <w:p w14:paraId="4D2E6000">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firstLine="482" w:firstLineChars="200"/>
        <w:textAlignment w:val="auto"/>
        <w:outlineLvl w:val="1"/>
        <w:rPr>
          <w:rFonts w:hint="default"/>
          <w:b/>
          <w:bCs/>
          <w:lang w:val="en-US" w:eastAsia="zh-CN"/>
        </w:rPr>
      </w:pPr>
      <w:r>
        <w:rPr>
          <w:rFonts w:hint="eastAsia"/>
          <w:b/>
          <w:bCs/>
          <w:lang w:val="en-US" w:eastAsia="zh-CN"/>
        </w:rPr>
        <w:t>1、检测服务范围</w:t>
      </w:r>
    </w:p>
    <w:p w14:paraId="0883901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cs="宋体"/>
          <w:kern w:val="2"/>
          <w:sz w:val="24"/>
          <w:szCs w:val="24"/>
          <w:lang w:val="en-US" w:eastAsia="zh-CN" w:bidi="ar-SA"/>
        </w:rPr>
        <w:t>1.1.</w:t>
      </w:r>
      <w:r>
        <w:rPr>
          <w:rFonts w:hint="eastAsia" w:ascii="Times New Roman" w:hAnsi="Times New Roman" w:eastAsia="宋体" w:cs="宋体"/>
          <w:kern w:val="2"/>
          <w:sz w:val="24"/>
          <w:szCs w:val="24"/>
          <w:lang w:val="en-US" w:eastAsia="zh-CN" w:bidi="ar-SA"/>
        </w:rPr>
        <w:t>化疗药物、靶向药物、慢病用药指导检测服务</w:t>
      </w:r>
      <w:r>
        <w:rPr>
          <w:rFonts w:hint="eastAsia" w:cs="宋体"/>
          <w:kern w:val="2"/>
          <w:sz w:val="24"/>
          <w:szCs w:val="24"/>
          <w:lang w:val="en-US" w:eastAsia="zh-CN" w:bidi="ar-SA"/>
        </w:rPr>
        <w:t>;</w:t>
      </w:r>
    </w:p>
    <w:p w14:paraId="5E79E84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Times New Roman" w:hAnsi="Times New Roman" w:eastAsia="宋体" w:cs="宋体"/>
          <w:kern w:val="2"/>
          <w:sz w:val="24"/>
          <w:szCs w:val="24"/>
          <w:lang w:val="en-US" w:eastAsia="zh-CN" w:bidi="ar-SA"/>
        </w:rPr>
      </w:pPr>
      <w:r>
        <w:rPr>
          <w:rFonts w:hint="eastAsia" w:cs="宋体"/>
          <w:kern w:val="2"/>
          <w:sz w:val="24"/>
          <w:szCs w:val="24"/>
          <w:lang w:val="en-US" w:eastAsia="zh-CN" w:bidi="ar-SA"/>
        </w:rPr>
        <w:t>1.2.</w:t>
      </w:r>
      <w:r>
        <w:rPr>
          <w:rFonts w:hint="eastAsia" w:ascii="Times New Roman" w:hAnsi="Times New Roman" w:eastAsia="宋体" w:cs="宋体"/>
          <w:kern w:val="2"/>
          <w:sz w:val="24"/>
          <w:szCs w:val="24"/>
          <w:lang w:val="en-US" w:eastAsia="zh-CN" w:bidi="ar-SA"/>
        </w:rPr>
        <w:t>消化系统甲基化检测项目，有收费条目，有授权，可以合理收费</w:t>
      </w:r>
      <w:r>
        <w:rPr>
          <w:rFonts w:hint="eastAsia" w:cs="宋体"/>
          <w:kern w:val="2"/>
          <w:sz w:val="24"/>
          <w:szCs w:val="24"/>
          <w:lang w:val="en-US" w:eastAsia="zh-CN" w:bidi="ar-SA"/>
        </w:rPr>
        <w:t>;</w:t>
      </w:r>
    </w:p>
    <w:p w14:paraId="43E7590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Times New Roman" w:hAnsi="Times New Roman" w:eastAsia="宋体" w:cs="宋体"/>
          <w:kern w:val="2"/>
          <w:sz w:val="24"/>
          <w:szCs w:val="24"/>
          <w:lang w:val="en-US" w:eastAsia="zh-CN" w:bidi="ar-SA"/>
        </w:rPr>
      </w:pPr>
      <w:r>
        <w:rPr>
          <w:rFonts w:hint="eastAsia" w:cs="宋体"/>
          <w:kern w:val="2"/>
          <w:sz w:val="24"/>
          <w:szCs w:val="24"/>
          <w:lang w:val="en-US" w:eastAsia="zh-CN" w:bidi="ar-SA"/>
        </w:rPr>
        <w:t>1.3.</w:t>
      </w:r>
      <w:r>
        <w:rPr>
          <w:rFonts w:hint="eastAsia" w:ascii="Times New Roman" w:hAnsi="Times New Roman" w:eastAsia="宋体" w:cs="宋体"/>
          <w:kern w:val="2"/>
          <w:sz w:val="24"/>
          <w:szCs w:val="24"/>
          <w:lang w:val="en-US" w:eastAsia="zh-CN" w:bidi="ar-SA"/>
        </w:rPr>
        <w:t>呼吸科肺癌早筛、肺癌基因突变检测、肺癌七种抗体谱监测肺结节</w:t>
      </w:r>
      <w:r>
        <w:rPr>
          <w:rFonts w:hint="eastAsia" w:cs="宋体"/>
          <w:kern w:val="2"/>
          <w:sz w:val="24"/>
          <w:szCs w:val="24"/>
          <w:lang w:val="en-US" w:eastAsia="zh-CN" w:bidi="ar-SA"/>
        </w:rPr>
        <w:t>;</w:t>
      </w:r>
    </w:p>
    <w:p w14:paraId="6BF3C0C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cs="宋体"/>
          <w:kern w:val="2"/>
          <w:sz w:val="24"/>
          <w:szCs w:val="24"/>
          <w:lang w:val="en-US" w:eastAsia="zh-CN" w:bidi="ar-SA"/>
        </w:rPr>
      </w:pPr>
      <w:r>
        <w:rPr>
          <w:rFonts w:hint="eastAsia" w:cs="宋体"/>
          <w:kern w:val="2"/>
          <w:sz w:val="24"/>
          <w:szCs w:val="24"/>
          <w:lang w:val="en-US" w:eastAsia="zh-CN" w:bidi="ar-SA"/>
        </w:rPr>
        <w:t>1.4.</w:t>
      </w:r>
      <w:r>
        <w:rPr>
          <w:rFonts w:hint="eastAsia" w:ascii="Times New Roman" w:hAnsi="Times New Roman" w:eastAsia="宋体" w:cs="宋体"/>
          <w:kern w:val="2"/>
          <w:sz w:val="24"/>
          <w:szCs w:val="24"/>
          <w:lang w:val="en-US" w:eastAsia="zh-CN" w:bidi="ar-SA"/>
        </w:rPr>
        <w:t>妇女两癌筛查项目技术支持、物流支持，提供妇科癌前病变项目服务（附试剂注册证、授权、收费编码，物流运输方案</w:t>
      </w:r>
      <w:r>
        <w:rPr>
          <w:rFonts w:hint="eastAsia" w:cs="宋体"/>
          <w:kern w:val="2"/>
          <w:sz w:val="24"/>
          <w:szCs w:val="24"/>
          <w:lang w:val="en-US" w:eastAsia="zh-CN" w:bidi="ar-SA"/>
        </w:rPr>
        <w:t>);</w:t>
      </w:r>
    </w:p>
    <w:p w14:paraId="4EAC0C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cs="宋体"/>
          <w:kern w:val="2"/>
          <w:sz w:val="24"/>
          <w:szCs w:val="24"/>
          <w:lang w:val="en-US" w:eastAsia="zh-CN" w:bidi="ar-SA"/>
        </w:rPr>
        <w:t>1.5.</w:t>
      </w:r>
      <w:r>
        <w:rPr>
          <w:rFonts w:hint="eastAsia" w:ascii="Times New Roman" w:hAnsi="Times New Roman" w:eastAsia="宋体" w:cs="宋体"/>
          <w:kern w:val="2"/>
          <w:sz w:val="24"/>
          <w:szCs w:val="24"/>
          <w:lang w:val="en-US" w:eastAsia="zh-CN" w:bidi="ar-SA"/>
        </w:rPr>
        <w:t>肿瘤康复病人复发监测：循环肿瘤细胞计数、二代测序LDT项目（ctDNA 检测、MRD）</w:t>
      </w:r>
      <w:r>
        <w:rPr>
          <w:rFonts w:hint="eastAsia" w:cs="宋体"/>
          <w:kern w:val="2"/>
          <w:sz w:val="24"/>
          <w:szCs w:val="24"/>
          <w:lang w:val="en-US" w:eastAsia="zh-CN" w:bidi="ar-SA"/>
        </w:rPr>
        <w:t>;</w:t>
      </w:r>
    </w:p>
    <w:p w14:paraId="4598C5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Times New Roman" w:hAnsi="Times New Roman" w:eastAsia="宋体" w:cs="宋体"/>
          <w:kern w:val="2"/>
          <w:sz w:val="24"/>
          <w:szCs w:val="24"/>
          <w:lang w:val="en-US" w:eastAsia="zh-CN" w:bidi="ar-SA"/>
        </w:rPr>
      </w:pPr>
      <w:r>
        <w:rPr>
          <w:rFonts w:hint="eastAsia" w:cs="宋体"/>
          <w:kern w:val="2"/>
          <w:sz w:val="24"/>
          <w:szCs w:val="24"/>
          <w:lang w:val="en-US" w:eastAsia="zh-CN" w:bidi="ar-SA"/>
        </w:rPr>
        <w:t>1.6.</w:t>
      </w:r>
      <w:r>
        <w:rPr>
          <w:rFonts w:hint="eastAsia" w:ascii="Times New Roman" w:hAnsi="Times New Roman" w:eastAsia="宋体" w:cs="宋体"/>
          <w:kern w:val="2"/>
          <w:sz w:val="24"/>
          <w:szCs w:val="24"/>
          <w:lang w:val="en-US" w:eastAsia="zh-CN" w:bidi="ar-SA"/>
        </w:rPr>
        <w:t>泌尿系统肿瘤检测项目（LDT项目</w:t>
      </w:r>
      <w:r>
        <w:rPr>
          <w:rFonts w:hint="eastAsia" w:cs="宋体"/>
          <w:kern w:val="2"/>
          <w:sz w:val="24"/>
          <w:szCs w:val="24"/>
          <w:lang w:val="en-US" w:eastAsia="zh-CN" w:bidi="ar-SA"/>
        </w:rPr>
        <w:t>);</w:t>
      </w:r>
    </w:p>
    <w:p w14:paraId="005FC67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Times New Roman" w:hAnsi="Times New Roman" w:eastAsia="宋体" w:cs="宋体"/>
          <w:kern w:val="2"/>
          <w:sz w:val="24"/>
          <w:szCs w:val="24"/>
          <w:lang w:val="en-US" w:eastAsia="zh-CN" w:bidi="ar-SA"/>
        </w:rPr>
      </w:pPr>
      <w:r>
        <w:rPr>
          <w:rFonts w:hint="eastAsia" w:cs="宋体"/>
          <w:kern w:val="2"/>
          <w:sz w:val="24"/>
          <w:szCs w:val="24"/>
          <w:lang w:val="en-US" w:eastAsia="zh-CN" w:bidi="ar-SA"/>
        </w:rPr>
        <w:t>1.7.</w:t>
      </w:r>
      <w:r>
        <w:rPr>
          <w:rFonts w:hint="eastAsia" w:ascii="Times New Roman" w:hAnsi="Times New Roman" w:eastAsia="宋体" w:cs="宋体"/>
          <w:kern w:val="2"/>
          <w:sz w:val="24"/>
          <w:szCs w:val="24"/>
          <w:lang w:val="en-US" w:eastAsia="zh-CN" w:bidi="ar-SA"/>
        </w:rPr>
        <w:t>提供常见肿瘤诊断指南分子病理检测项目：子宫内膜癌分子分型（试剂有注册证）、肺癌9基因（试剂带注册证）、结直肠癌分子病理检测项目,有收费编码、试剂有注册证</w:t>
      </w:r>
      <w:r>
        <w:rPr>
          <w:rFonts w:hint="eastAsia" w:cs="宋体"/>
          <w:kern w:val="2"/>
          <w:sz w:val="24"/>
          <w:szCs w:val="24"/>
          <w:lang w:val="en-US" w:eastAsia="zh-CN" w:bidi="ar-SA"/>
        </w:rPr>
        <w:t>;</w:t>
      </w:r>
    </w:p>
    <w:p w14:paraId="1B6EC34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Times New Roman" w:hAnsi="Times New Roman" w:eastAsia="宋体" w:cs="宋体"/>
          <w:kern w:val="2"/>
          <w:sz w:val="24"/>
          <w:szCs w:val="24"/>
          <w:lang w:val="en-US" w:eastAsia="zh-CN" w:bidi="ar-SA"/>
        </w:rPr>
      </w:pPr>
      <w:r>
        <w:rPr>
          <w:rFonts w:hint="eastAsia" w:cs="宋体"/>
          <w:kern w:val="2"/>
          <w:sz w:val="24"/>
          <w:szCs w:val="24"/>
          <w:lang w:val="en-US" w:eastAsia="zh-CN" w:bidi="ar-SA"/>
        </w:rPr>
        <w:t>1.8.</w:t>
      </w:r>
      <w:r>
        <w:rPr>
          <w:rFonts w:hint="eastAsia" w:ascii="Times New Roman" w:hAnsi="Times New Roman" w:eastAsia="宋体" w:cs="宋体"/>
          <w:kern w:val="2"/>
          <w:sz w:val="24"/>
          <w:szCs w:val="24"/>
          <w:lang w:val="en-US" w:eastAsia="zh-CN" w:bidi="ar-SA"/>
        </w:rPr>
        <w:t>提供检查点免疫抑制剂免疫组化检测项目。</w:t>
      </w:r>
    </w:p>
    <w:p w14:paraId="76F94E72">
      <w:pPr>
        <w:ind w:firstLine="482" w:firstLineChars="200"/>
        <w:outlineLvl w:val="1"/>
      </w:pPr>
      <w:r>
        <w:rPr>
          <w:rFonts w:hint="eastAsia"/>
          <w:b/>
          <w:bCs/>
          <w:lang w:val="en-US" w:eastAsia="zh-CN"/>
        </w:rPr>
        <w:t>2</w:t>
      </w:r>
      <w:r>
        <w:rPr>
          <w:rFonts w:hint="eastAsia"/>
          <w:b/>
          <w:bCs/>
        </w:rPr>
        <w:t>、</w:t>
      </w:r>
      <w:r>
        <w:rPr>
          <w:rFonts w:hint="eastAsia"/>
          <w:b/>
          <w:bCs/>
          <w:lang w:val="en-US" w:eastAsia="zh-CN"/>
        </w:rPr>
        <w:t>项目</w:t>
      </w:r>
      <w:r>
        <w:rPr>
          <w:rFonts w:hint="eastAsia"/>
          <w:b/>
          <w:bCs/>
        </w:rPr>
        <w:t>服务要求</w:t>
      </w:r>
    </w:p>
    <w:p w14:paraId="08AFF227">
      <w:pPr>
        <w:snapToGrid w:val="0"/>
        <w:ind w:firstLine="480" w:firstLineChars="200"/>
      </w:pPr>
      <w:r>
        <w:rPr>
          <w:rFonts w:hint="eastAsia"/>
          <w:lang w:val="en-US" w:eastAsia="zh-CN"/>
        </w:rPr>
        <w:t>2.1</w:t>
      </w:r>
      <w:r>
        <w:rPr>
          <w:rFonts w:hint="eastAsia"/>
        </w:rPr>
        <w:t>供应商针对医院交付的标本，应当及时完成相应的检测工作并出具检测报告，并按检测服务和技术服务约定的要求提供相应的技术支持服务。</w:t>
      </w:r>
    </w:p>
    <w:p w14:paraId="078C984D">
      <w:pPr>
        <w:snapToGrid w:val="0"/>
        <w:ind w:firstLine="480" w:firstLineChars="200"/>
        <w:rPr>
          <w:rFonts w:hint="eastAsia"/>
        </w:rPr>
      </w:pPr>
      <w:r>
        <w:rPr>
          <w:rFonts w:hint="eastAsia"/>
        </w:rPr>
        <w:t>2.</w:t>
      </w:r>
      <w:r>
        <w:rPr>
          <w:rFonts w:hint="eastAsia"/>
          <w:lang w:val="en-US" w:eastAsia="zh-CN"/>
        </w:rPr>
        <w:t>2</w:t>
      </w:r>
      <w:r>
        <w:rPr>
          <w:rFonts w:hint="eastAsia"/>
        </w:rPr>
        <w:t>项目开展所涉及的标本，未经院方同意，供应商不得私自用于其他用途。</w:t>
      </w:r>
    </w:p>
    <w:p w14:paraId="0E3E2212">
      <w:pPr>
        <w:snapToGrid w:val="0"/>
        <w:ind w:firstLine="480" w:firstLineChars="200"/>
        <w:rPr>
          <w:rFonts w:hint="eastAsia"/>
        </w:rPr>
      </w:pPr>
      <w:r>
        <w:rPr>
          <w:rFonts w:hint="eastAsia"/>
          <w:lang w:val="en-US" w:eastAsia="zh-CN"/>
        </w:rPr>
        <w:t>2.3</w:t>
      </w:r>
      <w:r>
        <w:rPr>
          <w:rFonts w:hint="eastAsia"/>
        </w:rPr>
        <w:t>提供一台数字切片扫描仪（5片机型），可以为医院提供疑难病理会诊等诊断和技术服务。</w:t>
      </w:r>
    </w:p>
    <w:p w14:paraId="635B58BF">
      <w:pPr>
        <w:ind w:firstLine="482" w:firstLineChars="200"/>
        <w:outlineLvl w:val="2"/>
        <w:rPr>
          <w:b/>
          <w:bCs/>
        </w:rPr>
      </w:pPr>
      <w:r>
        <w:rPr>
          <w:rFonts w:hint="eastAsia"/>
          <w:b/>
          <w:bCs/>
          <w:lang w:val="en-US" w:eastAsia="zh-CN"/>
        </w:rPr>
        <w:t>3</w:t>
      </w:r>
      <w:r>
        <w:rPr>
          <w:rFonts w:hint="eastAsia"/>
          <w:b/>
          <w:bCs/>
        </w:rPr>
        <w:t>.检测服务要求</w:t>
      </w:r>
    </w:p>
    <w:p w14:paraId="5B780366">
      <w:pPr>
        <w:snapToGrid w:val="0"/>
        <w:ind w:firstLine="480" w:firstLineChars="200"/>
      </w:pPr>
      <w:r>
        <w:rPr>
          <w:rFonts w:hint="eastAsia"/>
          <w:lang w:val="en-US" w:eastAsia="zh-CN"/>
        </w:rPr>
        <w:t>3.1</w:t>
      </w:r>
      <w:r>
        <w:rPr>
          <w:rFonts w:hint="eastAsia"/>
        </w:rPr>
        <w:t xml:space="preserve">供应商出具的报告周期应当符合行业和三级医院的相应规定要求。 </w:t>
      </w:r>
    </w:p>
    <w:p w14:paraId="1DB78B2A">
      <w:pPr>
        <w:snapToGrid w:val="0"/>
        <w:ind w:firstLine="480" w:firstLineChars="200"/>
        <w:rPr>
          <w:rFonts w:hint="eastAsia"/>
        </w:rPr>
      </w:pPr>
      <w:r>
        <w:rPr>
          <w:rFonts w:hint="eastAsia"/>
          <w:lang w:val="en-US" w:eastAsia="zh-CN"/>
        </w:rPr>
        <w:t>3.2</w:t>
      </w:r>
      <w:r>
        <w:rPr>
          <w:rFonts w:hint="eastAsia"/>
        </w:rPr>
        <w:t>供应商针对医院已交付的标本，应当在转运、服务环节、报告质量等方面，应当严格遵循工作质量管理的流程并负有相应的责任。</w:t>
      </w:r>
    </w:p>
    <w:p w14:paraId="4C2352DB">
      <w:pPr>
        <w:snapToGrid w:val="0"/>
        <w:ind w:firstLine="480" w:firstLineChars="200"/>
        <w:rPr>
          <w:rFonts w:hint="default"/>
          <w:lang w:val="en-US" w:eastAsia="zh-CN"/>
        </w:rPr>
      </w:pPr>
      <w:r>
        <w:rPr>
          <w:rFonts w:hint="eastAsia"/>
          <w:lang w:val="en-US" w:eastAsia="zh-CN"/>
        </w:rPr>
        <w:t>3.3</w:t>
      </w:r>
      <w:r>
        <w:rPr>
          <w:rFonts w:hint="eastAsia"/>
        </w:rPr>
        <w:t>医院有权监督和指导第三方病理诊断中心履行</w:t>
      </w:r>
      <w:r>
        <w:rPr>
          <w:rFonts w:hint="eastAsia"/>
          <w:lang w:eastAsia="zh-CN"/>
        </w:rPr>
        <w:t>委托项目的质控管理和结果管控</w:t>
      </w:r>
      <w:r>
        <w:rPr>
          <w:rFonts w:hint="eastAsia"/>
        </w:rPr>
        <w:t>，对第三方病理诊断中心运营的规范性、标准性和及时性等指标进行监督指导。</w:t>
      </w:r>
    </w:p>
    <w:p w14:paraId="6F8298AD">
      <w:pPr>
        <w:ind w:firstLine="482" w:firstLineChars="200"/>
        <w:outlineLvl w:val="2"/>
      </w:pPr>
      <w:r>
        <w:rPr>
          <w:rFonts w:hint="eastAsia"/>
          <w:b/>
          <w:bCs/>
          <w:lang w:val="en-US" w:eastAsia="zh-CN"/>
        </w:rPr>
        <w:t>4</w:t>
      </w:r>
      <w:r>
        <w:rPr>
          <w:rFonts w:hint="eastAsia"/>
          <w:b/>
          <w:bCs/>
        </w:rPr>
        <w:t>.技术支持服务要求</w:t>
      </w:r>
    </w:p>
    <w:p w14:paraId="7B00C5C2">
      <w:pPr>
        <w:snapToGrid w:val="0"/>
        <w:ind w:firstLine="480" w:firstLineChars="200"/>
        <w:rPr>
          <w:rFonts w:hint="eastAsia"/>
        </w:rPr>
      </w:pPr>
      <w:r>
        <w:rPr>
          <w:rFonts w:hint="eastAsia"/>
          <w:lang w:val="en-US" w:eastAsia="zh-CN"/>
        </w:rPr>
        <w:t>4.1</w:t>
      </w:r>
      <w:r>
        <w:rPr>
          <w:rFonts w:hint="eastAsia"/>
        </w:rPr>
        <w:t>具备第三方病理诊断中心医疗机构许可证，有环评、危化品许可资质。</w:t>
      </w:r>
    </w:p>
    <w:p w14:paraId="3A31840F">
      <w:pPr>
        <w:snapToGrid w:val="0"/>
        <w:ind w:firstLine="480" w:firstLineChars="200"/>
        <w:rPr>
          <w:rFonts w:hint="eastAsia"/>
        </w:rPr>
      </w:pPr>
      <w:r>
        <w:rPr>
          <w:rFonts w:hint="eastAsia"/>
          <w:lang w:val="en-US" w:eastAsia="zh-CN"/>
        </w:rPr>
        <w:t>4.2</w:t>
      </w:r>
      <w:r>
        <w:rPr>
          <w:rFonts w:hint="eastAsia"/>
        </w:rPr>
        <w:t>不定期派专家、教授到医院指导病理工作，随时接受临床医生有关课题申报、论文撰写等方面的咨询和帮助，直到论文发表。</w:t>
      </w:r>
    </w:p>
    <w:p w14:paraId="38D67CB3">
      <w:pPr>
        <w:snapToGrid w:val="0"/>
        <w:ind w:firstLine="480" w:firstLineChars="200"/>
        <w:rPr>
          <w:rFonts w:hint="eastAsia"/>
        </w:rPr>
      </w:pPr>
      <w:r>
        <w:rPr>
          <w:rFonts w:hint="eastAsia"/>
          <w:lang w:val="en-US" w:eastAsia="zh-CN"/>
        </w:rPr>
        <w:t>4.3</w:t>
      </w:r>
      <w:r>
        <w:rPr>
          <w:rFonts w:hint="eastAsia"/>
        </w:rPr>
        <w:t>需具备协助医院建立培养病理诊断医师、病理技术骨干的长效机制，提供有资质的带教老师、培训教材、培训方案。</w:t>
      </w:r>
    </w:p>
    <w:p w14:paraId="5408BF1E">
      <w:pPr>
        <w:snapToGrid w:val="0"/>
        <w:ind w:firstLine="480" w:firstLineChars="200"/>
        <w:rPr>
          <w:rFonts w:hint="eastAsia"/>
        </w:rPr>
      </w:pPr>
      <w:r>
        <w:rPr>
          <w:rFonts w:hint="eastAsia"/>
          <w:lang w:val="en-US" w:eastAsia="zh-CN"/>
        </w:rPr>
        <w:t>4.4</w:t>
      </w:r>
      <w:r>
        <w:rPr>
          <w:rFonts w:hint="eastAsia"/>
        </w:rPr>
        <w:t xml:space="preserve">第三方病理诊断中心需按照时间进程安排好病理医生和病理技术人才的培训带教；需要提供有教学资质的带教老师和系统教材、并提供佐证材料。 </w:t>
      </w:r>
    </w:p>
    <w:p w14:paraId="082BE897">
      <w:pPr>
        <w:snapToGrid w:val="0"/>
        <w:ind w:firstLine="480" w:firstLineChars="200"/>
        <w:rPr>
          <w:rFonts w:hint="eastAsia"/>
        </w:rPr>
      </w:pPr>
      <w:r>
        <w:rPr>
          <w:rFonts w:hint="eastAsia"/>
          <w:lang w:val="en-US" w:eastAsia="zh-CN"/>
        </w:rPr>
        <w:t>4.5</w:t>
      </w:r>
      <w:r>
        <w:rPr>
          <w:rFonts w:hint="eastAsia"/>
        </w:rPr>
        <w:t>提供病理科需要的人才、设备等资质协助等级医院复审。</w:t>
      </w:r>
    </w:p>
    <w:p w14:paraId="2C889703">
      <w:pPr>
        <w:snapToGrid w:val="0"/>
        <w:ind w:firstLine="480" w:firstLineChars="200"/>
        <w:rPr>
          <w:rFonts w:hint="eastAsia"/>
          <w:lang w:val="en-US" w:eastAsia="zh-CN"/>
        </w:rPr>
      </w:pPr>
      <w:r>
        <w:rPr>
          <w:rFonts w:hint="eastAsia"/>
          <w:lang w:val="en-US" w:eastAsia="zh-CN"/>
        </w:rPr>
        <w:t>4.6</w:t>
      </w:r>
      <w:r>
        <w:rPr>
          <w:rFonts w:hint="eastAsia"/>
          <w:lang w:eastAsia="zh-CN"/>
        </w:rPr>
        <w:t>协助</w:t>
      </w:r>
      <w:r>
        <w:rPr>
          <w:rFonts w:hint="eastAsia"/>
          <w:lang w:val="en-US" w:eastAsia="zh-CN"/>
        </w:rPr>
        <w:t>医</w:t>
      </w:r>
      <w:r>
        <w:rPr>
          <w:rFonts w:hint="eastAsia"/>
          <w:lang w:eastAsia="zh-CN"/>
        </w:rPr>
        <w:t>院开展病理远程会诊、疑难病例会诊</w:t>
      </w:r>
      <w:r>
        <w:rPr>
          <w:rFonts w:hint="eastAsia"/>
          <w:lang w:val="en-US" w:eastAsia="zh-CN"/>
        </w:rPr>
        <w:t>;</w:t>
      </w:r>
    </w:p>
    <w:p w14:paraId="3260D4A6">
      <w:pPr>
        <w:snapToGrid w:val="0"/>
        <w:ind w:firstLine="480" w:firstLineChars="200"/>
        <w:rPr>
          <w:rFonts w:hint="eastAsia"/>
          <w:lang w:val="en-US" w:eastAsia="zh-CN"/>
        </w:rPr>
      </w:pPr>
      <w:r>
        <w:rPr>
          <w:rFonts w:hint="eastAsia"/>
          <w:lang w:val="en-US" w:eastAsia="zh-CN"/>
        </w:rPr>
        <w:t>4.7协助</w:t>
      </w:r>
      <w:r>
        <w:rPr>
          <w:rFonts w:hint="eastAsia"/>
          <w:lang w:eastAsia="zh-CN"/>
        </w:rPr>
        <w:t>承接江苏两癌筛查（</w:t>
      </w:r>
      <w:r>
        <w:rPr>
          <w:rFonts w:hint="eastAsia"/>
          <w:lang w:val="en-US" w:eastAsia="zh-CN"/>
        </w:rPr>
        <w:t>宫颈癌：</w:t>
      </w:r>
      <w:r>
        <w:rPr>
          <w:rFonts w:hint="eastAsia"/>
          <w:lang w:eastAsia="zh-CN"/>
        </w:rPr>
        <w:t>HPV+TCT</w:t>
      </w:r>
      <w:r>
        <w:rPr>
          <w:rFonts w:hint="eastAsia"/>
          <w:lang w:val="en-US" w:eastAsia="zh-CN"/>
        </w:rPr>
        <w:t>+宫颈组织活检)。</w:t>
      </w:r>
    </w:p>
    <w:p w14:paraId="42C4C4D3">
      <w:pPr>
        <w:snapToGrid w:val="0"/>
        <w:ind w:firstLine="480" w:firstLineChars="200"/>
        <w:rPr>
          <w:rFonts w:hint="default" w:eastAsia="宋体"/>
          <w:lang w:val="en-US" w:eastAsia="zh-CN"/>
        </w:rPr>
      </w:pPr>
      <w:r>
        <w:rPr>
          <w:rFonts w:hint="eastAsia"/>
          <w:lang w:val="en-US" w:eastAsia="zh-CN"/>
        </w:rPr>
        <w:t>4.8提供病理信息管理系统软件对接，确保病理信息准确传输。</w:t>
      </w:r>
    </w:p>
    <w:p w14:paraId="575D5453">
      <w:pPr>
        <w:ind w:firstLine="482" w:firstLineChars="200"/>
        <w:outlineLvl w:val="1"/>
      </w:pPr>
      <w:r>
        <w:rPr>
          <w:rFonts w:hint="eastAsia"/>
          <w:b/>
          <w:bCs/>
          <w:lang w:val="en-US" w:eastAsia="zh-CN"/>
        </w:rPr>
        <w:t>二</w:t>
      </w:r>
      <w:r>
        <w:rPr>
          <w:rFonts w:hint="eastAsia"/>
          <w:b/>
          <w:bCs/>
        </w:rPr>
        <w:t>、服务标准</w:t>
      </w:r>
    </w:p>
    <w:p w14:paraId="7DC8B32E">
      <w:pPr>
        <w:snapToGrid w:val="0"/>
        <w:ind w:firstLine="480" w:firstLineChars="200"/>
        <w:rPr>
          <w:rFonts w:hint="eastAsia"/>
        </w:rPr>
      </w:pPr>
      <w:bookmarkStart w:id="1" w:name="_Hlk180421723"/>
      <w:bookmarkStart w:id="2" w:name="_Hlk176452891"/>
      <w:r>
        <w:rPr>
          <w:rFonts w:hint="eastAsia"/>
          <w:lang w:val="en-US" w:eastAsia="zh-CN"/>
        </w:rPr>
        <w:t>1.</w:t>
      </w:r>
      <w:r>
        <w:rPr>
          <w:rFonts w:hint="eastAsia"/>
        </w:rPr>
        <w:t>在标本转运环节涉及因供应商原因发生标本丢失、损毁，供应商将承担因标本丢失损毁而引发的相关责任和经济损失，赔偿因此而带来的延缓方被产生的所有损失（如有），具体包括：因标本丢失所致的因疾病延误产生的医疗损害责任纠纷赔偿；再次采集标本所产生的直接费用包含耗材和人力费用等。</w:t>
      </w:r>
    </w:p>
    <w:p w14:paraId="379CFD2A">
      <w:pPr>
        <w:snapToGrid w:val="0"/>
        <w:ind w:firstLine="480" w:firstLineChars="200"/>
        <w:rPr>
          <w:rFonts w:hint="default"/>
          <w:lang w:val="en-US" w:eastAsia="zh-CN"/>
        </w:rPr>
      </w:pPr>
      <w:r>
        <w:rPr>
          <w:rFonts w:hint="eastAsia"/>
          <w:lang w:val="en-US" w:eastAsia="zh-CN"/>
        </w:rPr>
        <w:t>2.在医院开展的合作项目必须符合国家市场监督管理条例，有注册证、有收费条码。</w:t>
      </w:r>
    </w:p>
    <w:p w14:paraId="0226B721">
      <w:pPr>
        <w:ind w:firstLine="482" w:firstLineChars="200"/>
        <w:outlineLvl w:val="1"/>
      </w:pPr>
      <w:r>
        <w:rPr>
          <w:rFonts w:hint="eastAsia"/>
          <w:b/>
          <w:bCs/>
          <w:lang w:val="en-US" w:eastAsia="zh-CN"/>
        </w:rPr>
        <w:t>三</w:t>
      </w:r>
      <w:r>
        <w:rPr>
          <w:rFonts w:hint="eastAsia"/>
          <w:b/>
          <w:bCs/>
        </w:rPr>
        <w:t>、保密义务和责任</w:t>
      </w:r>
    </w:p>
    <w:p w14:paraId="75746F7E">
      <w:pPr>
        <w:snapToGrid w:val="0"/>
        <w:ind w:firstLine="480" w:firstLineChars="200"/>
      </w:pPr>
      <w:r>
        <w:rPr>
          <w:rFonts w:hint="eastAsia"/>
        </w:rPr>
        <w:t>供应商在服务期间及以后，对提供本项目服务涉及的相关资料（包括但不限于各类数据、受检者信息、检测报告、样本、价格、商业信息）均负有保密义务和责任（注：具体约定以合同条款为准。）。</w:t>
      </w:r>
    </w:p>
    <w:bookmarkEnd w:id="1"/>
    <w:p w14:paraId="31F3779B">
      <w:pPr>
        <w:ind w:firstLine="482" w:firstLineChars="200"/>
        <w:outlineLvl w:val="1"/>
      </w:pPr>
      <w:bookmarkStart w:id="3" w:name="_Hlk180423371"/>
      <w:r>
        <w:rPr>
          <w:rFonts w:hint="eastAsia"/>
          <w:b/>
          <w:bCs/>
          <w:lang w:val="en-US" w:eastAsia="zh-CN"/>
        </w:rPr>
        <w:t>四</w:t>
      </w:r>
      <w:r>
        <w:rPr>
          <w:rFonts w:hint="eastAsia"/>
          <w:b/>
          <w:bCs/>
        </w:rPr>
        <w:t>、服务评价</w:t>
      </w:r>
    </w:p>
    <w:p w14:paraId="49127495">
      <w:pPr>
        <w:snapToGrid w:val="0"/>
        <w:ind w:firstLine="480" w:firstLineChars="200"/>
      </w:pPr>
      <w:r>
        <w:rPr>
          <w:rFonts w:hint="eastAsia"/>
        </w:rPr>
        <w:t>1.根据本项目年度检测和技术支持服务的特点，供应商应当接受采购人针对项目服务运营的监督和管理，对项目服务范围内的工作按照服务要求做好并积极配合采购人的“年度”服务评价工作。</w:t>
      </w:r>
    </w:p>
    <w:p w14:paraId="6C07E3B1">
      <w:pPr>
        <w:snapToGrid w:val="0"/>
        <w:ind w:firstLine="480" w:firstLineChars="200"/>
      </w:pPr>
      <w:r>
        <w:rPr>
          <w:rFonts w:hint="eastAsia"/>
        </w:rPr>
        <w:t>2.采购人成立服务评价小组，在年度合同履行期限内的最后1个月内，对供应商提供的服务进行工作实效和满意度评价。</w:t>
      </w:r>
    </w:p>
    <w:p w14:paraId="71B44AD3">
      <w:pPr>
        <w:snapToGrid w:val="0"/>
        <w:ind w:firstLine="480" w:firstLineChars="200"/>
      </w:pPr>
      <w:r>
        <w:rPr>
          <w:rFonts w:hint="eastAsia"/>
        </w:rPr>
        <w:t>（1）工作实效是指供应商在服务工作方面常态化、规范化、持续化的服务效果。评价内容包括：检测项目的运营安全有序，技术服务准确及时且有效，供应商内部管理规范有序、安排的技术服务团队成员工作有序素质好等。</w:t>
      </w:r>
    </w:p>
    <w:p w14:paraId="18DD2071">
      <w:pPr>
        <w:snapToGrid w:val="0"/>
        <w:ind w:firstLine="480" w:firstLineChars="200"/>
      </w:pPr>
      <w:r>
        <w:rPr>
          <w:rFonts w:hint="eastAsia"/>
        </w:rPr>
        <w:t>（2）满意度是指采购人医院病理科对供应商服务工作的满意程度。</w:t>
      </w:r>
    </w:p>
    <w:p w14:paraId="1F774592">
      <w:pPr>
        <w:snapToGrid w:val="0"/>
        <w:ind w:firstLine="480" w:firstLineChars="200"/>
      </w:pPr>
      <w:r>
        <w:rPr>
          <w:rFonts w:hint="eastAsia"/>
        </w:rPr>
        <w:t>3.采购人根据服务评价小组的评价意见，签订服务期限内的下一年度服务合同；服务评价若未达服务要求的，采购人有权不再签订本项目服务合同。</w:t>
      </w:r>
    </w:p>
    <w:p w14:paraId="1506A20D">
      <w:pPr>
        <w:ind w:firstLine="482" w:firstLineChars="200"/>
        <w:outlineLvl w:val="1"/>
      </w:pPr>
      <w:r>
        <w:rPr>
          <w:rFonts w:hint="eastAsia"/>
          <w:b/>
          <w:bCs/>
          <w:lang w:val="en-US" w:eastAsia="zh-CN"/>
        </w:rPr>
        <w:t>五</w:t>
      </w:r>
      <w:r>
        <w:rPr>
          <w:rFonts w:hint="eastAsia"/>
          <w:b/>
          <w:bCs/>
        </w:rPr>
        <w:t>、履约保证金</w:t>
      </w:r>
    </w:p>
    <w:p w14:paraId="4DABFC92">
      <w:pPr>
        <w:snapToGrid w:val="0"/>
        <w:ind w:firstLine="480" w:firstLineChars="200"/>
      </w:pPr>
      <w:r>
        <w:rPr>
          <w:rFonts w:hint="eastAsia"/>
        </w:rPr>
        <w:t>1.本项目服务实施免收履约保证金。</w:t>
      </w:r>
    </w:p>
    <w:p w14:paraId="1984C48F">
      <w:pPr>
        <w:snapToGrid w:val="0"/>
        <w:ind w:firstLine="480" w:firstLineChars="200"/>
      </w:pPr>
      <w:r>
        <w:rPr>
          <w:rFonts w:hint="eastAsia"/>
        </w:rPr>
        <w:t>2.由于供应商的原因，在签订合同后出现不按合同履行或不适当履行的情况，按合同违约处理；同时采购人亦有权终止合同，供应商须依法承担相应的责任。</w:t>
      </w:r>
    </w:p>
    <w:bookmarkEnd w:id="2"/>
    <w:bookmarkEnd w:id="3"/>
    <w:p w14:paraId="6D78E138">
      <w:pPr>
        <w:ind w:firstLine="482" w:firstLineChars="200"/>
        <w:outlineLvl w:val="1"/>
      </w:pPr>
      <w:r>
        <w:rPr>
          <w:rFonts w:hint="eastAsia"/>
          <w:b/>
          <w:bCs/>
          <w:lang w:val="en-US" w:eastAsia="zh-CN"/>
        </w:rPr>
        <w:t>六</w:t>
      </w:r>
      <w:r>
        <w:rPr>
          <w:rFonts w:hint="eastAsia"/>
          <w:b/>
          <w:bCs/>
        </w:rPr>
        <w:t>、结算与支付</w:t>
      </w:r>
    </w:p>
    <w:p w14:paraId="00326969">
      <w:pPr>
        <w:snapToGrid w:val="0"/>
        <w:ind w:firstLine="482" w:firstLineChars="200"/>
        <w:rPr>
          <w:b/>
        </w:rPr>
      </w:pPr>
      <w:bookmarkStart w:id="4" w:name="_Hlk144316901"/>
      <w:bookmarkStart w:id="5" w:name="_Hlk84031777"/>
      <w:bookmarkStart w:id="6" w:name="_Hlk78323973"/>
      <w:bookmarkStart w:id="7" w:name="_Hlk172386980"/>
      <w:r>
        <w:rPr>
          <w:b/>
        </w:rPr>
        <w:t>【特别提醒】付款方式不接受负偏离及任何意图改变付款方式的意图表达，否则作无效投标处理。</w:t>
      </w:r>
    </w:p>
    <w:bookmarkEnd w:id="0"/>
    <w:bookmarkEnd w:id="4"/>
    <w:bookmarkEnd w:id="5"/>
    <w:bookmarkEnd w:id="6"/>
    <w:bookmarkEnd w:id="7"/>
    <w:p w14:paraId="524625F7">
      <w:pPr>
        <w:ind w:firstLine="480" w:firstLineChars="200"/>
      </w:pPr>
      <w:r>
        <w:rPr>
          <w:rFonts w:hint="eastAsia"/>
        </w:rPr>
        <w:t>1.合同签订生效，供应商在服务期间，根据江苏省医疗服务项目收费标准按照本项目采购活动成交的下浮率，向采购人收取经计算后的病理科项目检测服务费用（注：该费用包含了技术服务要求中的各项要求）。</w:t>
      </w:r>
    </w:p>
    <w:p w14:paraId="33F69B46">
      <w:pPr>
        <w:ind w:firstLine="480" w:firstLineChars="200"/>
      </w:pPr>
      <w:r>
        <w:rPr>
          <w:rFonts w:hint="eastAsia"/>
        </w:rPr>
        <w:t>2.采购人根据与供应商签订合同时的约定，与供应商进行对账结算（注：约定的对账和结算具体方法，以合同条款为准）。</w:t>
      </w:r>
    </w:p>
    <w:p w14:paraId="4F98596B">
      <w:pPr>
        <w:ind w:firstLine="480" w:firstLineChars="200"/>
      </w:pPr>
      <w:r>
        <w:rPr>
          <w:rFonts w:hint="eastAsia"/>
        </w:rPr>
        <w:t>3.采购人付款时，供应商应根据结算金额开具并提供正式税务发票。</w:t>
      </w:r>
    </w:p>
    <w:p w14:paraId="1A966DA2">
      <w:pPr>
        <w:pStyle w:val="2"/>
        <w:rPr>
          <w:rFonts w:hint="eastAsia" w:ascii="宋体" w:hAnsi="宋体"/>
          <w:b/>
          <w:sz w:val="24"/>
          <w:highlight w:val="none"/>
          <w:lang w:val="en-US" w:eastAsia="zh-CN"/>
        </w:rPr>
      </w:pPr>
      <w:r>
        <w:rPr>
          <w:rFonts w:hint="eastAsia" w:ascii="宋体" w:hAnsi="宋体" w:cs="宋体"/>
          <w:b/>
          <w:bCs/>
          <w:sz w:val="24"/>
          <w:szCs w:val="24"/>
          <w:lang w:val="en-US" w:eastAsia="zh-CN"/>
        </w:rPr>
        <w:t>七、</w:t>
      </w:r>
      <w:r>
        <w:rPr>
          <w:rFonts w:hint="eastAsia" w:ascii="宋体" w:hAnsi="宋体"/>
          <w:b/>
          <w:sz w:val="24"/>
          <w:highlight w:val="none"/>
          <w:lang w:val="en-US" w:eastAsia="zh-CN"/>
        </w:rPr>
        <w:t>评分细则</w:t>
      </w:r>
    </w:p>
    <w:p w14:paraId="76D4B6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sz w:val="20"/>
          <w:szCs w:val="20"/>
          <w:highlight w:val="none"/>
          <w:lang w:val="en-US" w:eastAsia="zh-CN"/>
        </w:rPr>
      </w:pPr>
    </w:p>
    <w:p w14:paraId="40998430">
      <w:pPr>
        <w:numPr>
          <w:ilvl w:val="0"/>
          <w:numId w:val="2"/>
        </w:numPr>
        <w:spacing w:line="240" w:lineRule="auto"/>
        <w:ind w:left="0" w:leftChars="0" w:firstLine="442" w:firstLineChars="200"/>
        <w:outlineLvl w:val="1"/>
        <w:rPr>
          <w:rFonts w:hint="eastAsia" w:ascii="宋体" w:hAnsi="宋体"/>
          <w:b/>
          <w:sz w:val="22"/>
          <w:szCs w:val="22"/>
          <w:highlight w:val="none"/>
          <w:lang w:val="en-US" w:eastAsia="zh-CN"/>
        </w:rPr>
      </w:pPr>
      <w:r>
        <w:rPr>
          <w:rFonts w:hint="eastAsia" w:ascii="宋体" w:hAnsi="宋体"/>
          <w:b/>
          <w:sz w:val="22"/>
          <w:szCs w:val="22"/>
          <w:highlight w:val="none"/>
          <w:lang w:val="en-US" w:eastAsia="zh-CN"/>
        </w:rPr>
        <w:t>价格分：30分</w:t>
      </w:r>
    </w:p>
    <w:p w14:paraId="3ECCC1D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实质性满足协商文件要求且最终报价下浮率最高的协商报价为评标基准价，得满分30分，其他供应商的价格分按照下列公式计算：</w:t>
      </w:r>
    </w:p>
    <w:p w14:paraId="1B415A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价格分=（投标下浮率/评标基准价）×30%×100（小数点保留两位）</w:t>
      </w:r>
    </w:p>
    <w:p w14:paraId="7AB0DEE4">
      <w:pPr>
        <w:numPr>
          <w:ilvl w:val="0"/>
          <w:numId w:val="2"/>
        </w:numPr>
        <w:spacing w:line="240" w:lineRule="auto"/>
        <w:ind w:left="0" w:leftChars="0" w:firstLine="442" w:firstLineChars="200"/>
        <w:outlineLvl w:val="1"/>
        <w:rPr>
          <w:rFonts w:hint="eastAsia" w:ascii="宋体" w:hAnsi="宋体" w:eastAsia="宋体" w:cs="宋体"/>
          <w:b/>
          <w:bCs/>
          <w:sz w:val="24"/>
          <w:szCs w:val="24"/>
          <w:lang w:val="en-US" w:eastAsia="zh-CN"/>
        </w:rPr>
      </w:pPr>
      <w:r>
        <w:rPr>
          <w:rFonts w:hint="eastAsia" w:ascii="宋体" w:hAnsi="宋体"/>
          <w:b/>
          <w:sz w:val="22"/>
          <w:szCs w:val="22"/>
          <w:highlight w:val="none"/>
          <w:lang w:val="en-US" w:eastAsia="zh-CN"/>
        </w:rPr>
        <w:t>商务技术分：70分</w:t>
      </w:r>
    </w:p>
    <w:p w14:paraId="61FECFCB">
      <w:pPr>
        <w:adjustRightInd w:val="0"/>
        <w:snapToGrid w:val="0"/>
        <w:ind w:firstLine="482" w:firstLineChars="200"/>
        <w:outlineLvl w:val="2"/>
        <w:rPr>
          <w:b/>
          <w:bCs/>
        </w:rPr>
      </w:pPr>
      <w:r>
        <w:rPr>
          <w:b/>
          <w:bCs/>
        </w:rPr>
        <w:t>1.技术响应评审表：（</w:t>
      </w:r>
      <w:r>
        <w:rPr>
          <w:rFonts w:hint="eastAsia"/>
          <w:b/>
          <w:bCs/>
        </w:rPr>
        <w:t>7</w:t>
      </w:r>
      <w:r>
        <w:rPr>
          <w:b/>
          <w:bCs/>
        </w:rPr>
        <w:t>0分）</w:t>
      </w:r>
    </w:p>
    <w:tbl>
      <w:tblPr>
        <w:tblStyle w:val="5"/>
        <w:tblW w:w="9627"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653"/>
        <w:gridCol w:w="6096"/>
        <w:gridCol w:w="708"/>
      </w:tblGrid>
      <w:tr w14:paraId="2536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170" w:type="dxa"/>
            <w:vAlign w:val="center"/>
          </w:tcPr>
          <w:p w14:paraId="46075858">
            <w:pPr>
              <w:ind w:left="-40"/>
              <w:jc w:val="center"/>
              <w:rPr>
                <w:b/>
                <w:bCs/>
              </w:rPr>
            </w:pPr>
            <w:r>
              <w:rPr>
                <w:b/>
                <w:bCs/>
              </w:rPr>
              <w:t>评审项目</w:t>
            </w:r>
          </w:p>
        </w:tc>
        <w:tc>
          <w:tcPr>
            <w:tcW w:w="1653" w:type="dxa"/>
            <w:vAlign w:val="center"/>
          </w:tcPr>
          <w:p w14:paraId="45E06CA2">
            <w:pPr>
              <w:ind w:left="-40"/>
              <w:jc w:val="center"/>
              <w:rPr>
                <w:b/>
                <w:bCs/>
              </w:rPr>
            </w:pPr>
            <w:r>
              <w:rPr>
                <w:b/>
                <w:bCs/>
              </w:rPr>
              <w:t>评审要求</w:t>
            </w:r>
          </w:p>
        </w:tc>
        <w:tc>
          <w:tcPr>
            <w:tcW w:w="6096" w:type="dxa"/>
            <w:vAlign w:val="center"/>
          </w:tcPr>
          <w:p w14:paraId="39589ABB">
            <w:pPr>
              <w:ind w:left="-40"/>
              <w:jc w:val="center"/>
              <w:rPr>
                <w:b/>
                <w:bCs/>
              </w:rPr>
            </w:pPr>
            <w:r>
              <w:rPr>
                <w:b/>
                <w:bCs/>
              </w:rPr>
              <w:t>评审因素</w:t>
            </w:r>
          </w:p>
        </w:tc>
        <w:tc>
          <w:tcPr>
            <w:tcW w:w="708" w:type="dxa"/>
            <w:vAlign w:val="center"/>
          </w:tcPr>
          <w:p w14:paraId="2081E541">
            <w:pPr>
              <w:ind w:left="-40"/>
              <w:jc w:val="center"/>
              <w:rPr>
                <w:b/>
                <w:bCs/>
              </w:rPr>
            </w:pPr>
            <w:r>
              <w:rPr>
                <w:rFonts w:hint="eastAsia"/>
                <w:b/>
                <w:bCs/>
              </w:rPr>
              <w:t>分值</w:t>
            </w:r>
          </w:p>
        </w:tc>
      </w:tr>
      <w:tr w14:paraId="7B07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70" w:type="dxa"/>
            <w:vMerge w:val="restart"/>
            <w:vAlign w:val="center"/>
          </w:tcPr>
          <w:p w14:paraId="5640369A">
            <w:pPr>
              <w:ind w:left="-40"/>
              <w:jc w:val="center"/>
            </w:pPr>
            <w:r>
              <w:rPr>
                <w:rFonts w:hint="eastAsia"/>
              </w:rPr>
              <w:t>1.技术</w:t>
            </w:r>
            <w:r>
              <w:t>资信</w:t>
            </w:r>
            <w:r>
              <w:rPr>
                <w:rFonts w:hint="eastAsia"/>
              </w:rPr>
              <w:t>能力</w:t>
            </w:r>
            <w:r>
              <w:t>（</w:t>
            </w:r>
            <w:r>
              <w:rPr>
                <w:rFonts w:hint="eastAsia"/>
              </w:rPr>
              <w:t>20</w:t>
            </w:r>
            <w:r>
              <w:t>分）</w:t>
            </w:r>
          </w:p>
        </w:tc>
        <w:tc>
          <w:tcPr>
            <w:tcW w:w="1653" w:type="dxa"/>
            <w:vMerge w:val="restart"/>
            <w:vAlign w:val="center"/>
          </w:tcPr>
          <w:p w14:paraId="29B8320B">
            <w:r>
              <w:rPr>
                <w:rFonts w:hint="eastAsia"/>
              </w:rPr>
              <w:t>评委以供应商提供的</w:t>
            </w:r>
            <w:r>
              <w:t>在有效期内的</w:t>
            </w:r>
            <w:r>
              <w:rPr>
                <w:rFonts w:hint="eastAsia"/>
              </w:rPr>
              <w:t>资质</w:t>
            </w:r>
            <w:r>
              <w:t>证书</w:t>
            </w:r>
            <w:r>
              <w:rPr>
                <w:rFonts w:hint="eastAsia"/>
              </w:rPr>
              <w:t>、各类各级质控证书，以及与评审因素相应的佐证材料进行评审</w:t>
            </w:r>
            <w:r>
              <w:t>。</w:t>
            </w:r>
          </w:p>
        </w:tc>
        <w:tc>
          <w:tcPr>
            <w:tcW w:w="6096" w:type="dxa"/>
            <w:vAlign w:val="center"/>
          </w:tcPr>
          <w:p w14:paraId="662DDE5A">
            <w:r>
              <w:t>（1）</w:t>
            </w:r>
            <w:r>
              <w:rPr>
                <w:rFonts w:hint="eastAsia"/>
              </w:rPr>
              <w:t>供应商具备环评、危化品许可资质的</w:t>
            </w:r>
            <w:r>
              <w:t>，</w:t>
            </w:r>
            <w:r>
              <w:rPr>
                <w:rFonts w:hint="eastAsia"/>
              </w:rPr>
              <w:t>每提供1份资质证明材料</w:t>
            </w:r>
            <w:r>
              <w:t>得</w:t>
            </w:r>
            <w:r>
              <w:rPr>
                <w:rFonts w:hint="eastAsia"/>
              </w:rPr>
              <w:t>1</w:t>
            </w:r>
            <w:r>
              <w:t>分，本项最高</w:t>
            </w:r>
            <w:r>
              <w:rPr>
                <w:rFonts w:hint="eastAsia"/>
              </w:rPr>
              <w:t>2</w:t>
            </w:r>
            <w:r>
              <w:t>分。</w:t>
            </w:r>
          </w:p>
        </w:tc>
        <w:tc>
          <w:tcPr>
            <w:tcW w:w="708" w:type="dxa"/>
            <w:vAlign w:val="center"/>
          </w:tcPr>
          <w:p w14:paraId="690A89C1">
            <w:pPr>
              <w:ind w:firstLine="31" w:firstLineChars="13"/>
              <w:jc w:val="center"/>
            </w:pPr>
            <w:r>
              <w:rPr>
                <w:rFonts w:hint="eastAsia"/>
              </w:rPr>
              <w:t>2</w:t>
            </w:r>
          </w:p>
        </w:tc>
      </w:tr>
      <w:tr w14:paraId="6E57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70" w:type="dxa"/>
            <w:vMerge w:val="continue"/>
            <w:vAlign w:val="center"/>
          </w:tcPr>
          <w:p w14:paraId="0C24F112">
            <w:pPr>
              <w:ind w:left="-40"/>
              <w:jc w:val="center"/>
            </w:pPr>
          </w:p>
        </w:tc>
        <w:tc>
          <w:tcPr>
            <w:tcW w:w="1653" w:type="dxa"/>
            <w:vMerge w:val="continue"/>
            <w:vAlign w:val="center"/>
          </w:tcPr>
          <w:p w14:paraId="618C6253">
            <w:pPr>
              <w:ind w:firstLine="480" w:firstLineChars="200"/>
            </w:pPr>
          </w:p>
        </w:tc>
        <w:tc>
          <w:tcPr>
            <w:tcW w:w="6096" w:type="dxa"/>
            <w:vAlign w:val="center"/>
          </w:tcPr>
          <w:p w14:paraId="610039AA">
            <w:pPr>
              <w:rPr>
                <w:highlight w:val="none"/>
              </w:rPr>
            </w:pPr>
            <w:r>
              <w:rPr>
                <w:highlight w:val="none"/>
              </w:rPr>
              <w:t>（2）</w:t>
            </w:r>
            <w:r>
              <w:rPr>
                <w:rFonts w:hint="eastAsia"/>
                <w:highlight w:val="none"/>
              </w:rPr>
              <w:t>供应商应具有“病理诊断中心”，具备PCR实验室资质且具备肿瘤类别。供应商为此提供的证明材料应当详尽完整且包含肿瘤类别的项目许可证明材料，佐证充分；该项最高得8分；证明材料中缺失肿瘤类别项目许可证明材料的，该项最高得3分。</w:t>
            </w:r>
          </w:p>
        </w:tc>
        <w:tc>
          <w:tcPr>
            <w:tcW w:w="708" w:type="dxa"/>
            <w:vAlign w:val="center"/>
          </w:tcPr>
          <w:p w14:paraId="6C167B09">
            <w:pPr>
              <w:ind w:firstLine="31" w:firstLineChars="13"/>
              <w:jc w:val="center"/>
            </w:pPr>
            <w:r>
              <w:rPr>
                <w:rFonts w:hint="eastAsia"/>
              </w:rPr>
              <w:t>8</w:t>
            </w:r>
          </w:p>
        </w:tc>
      </w:tr>
      <w:tr w14:paraId="37B0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70" w:type="dxa"/>
            <w:vMerge w:val="continue"/>
            <w:vAlign w:val="center"/>
          </w:tcPr>
          <w:p w14:paraId="3D6FAAFE">
            <w:pPr>
              <w:ind w:left="-40"/>
              <w:jc w:val="center"/>
            </w:pPr>
          </w:p>
        </w:tc>
        <w:tc>
          <w:tcPr>
            <w:tcW w:w="1653" w:type="dxa"/>
            <w:vMerge w:val="continue"/>
            <w:vAlign w:val="center"/>
          </w:tcPr>
          <w:p w14:paraId="7E73B8B3">
            <w:pPr>
              <w:ind w:firstLine="480" w:firstLineChars="200"/>
            </w:pPr>
          </w:p>
        </w:tc>
        <w:tc>
          <w:tcPr>
            <w:tcW w:w="6096" w:type="dxa"/>
            <w:vAlign w:val="center"/>
          </w:tcPr>
          <w:p w14:paraId="375E44D9">
            <w:pPr>
              <w:rPr>
                <w:highlight w:val="none"/>
              </w:rPr>
            </w:pPr>
            <w:r>
              <w:rPr>
                <w:rFonts w:hint="eastAsia"/>
                <w:highlight w:val="none"/>
              </w:rPr>
              <w:t>（3）供应商具有专业病理智能化管理软件，提供相应的软件界面截图，包含软件针对项目管理的流程步骤截图，得2分。</w:t>
            </w:r>
          </w:p>
        </w:tc>
        <w:tc>
          <w:tcPr>
            <w:tcW w:w="708" w:type="dxa"/>
            <w:vAlign w:val="center"/>
          </w:tcPr>
          <w:p w14:paraId="4632F846">
            <w:pPr>
              <w:ind w:firstLine="31" w:firstLineChars="13"/>
              <w:jc w:val="center"/>
            </w:pPr>
            <w:r>
              <w:rPr>
                <w:rFonts w:hint="eastAsia"/>
              </w:rPr>
              <w:t>2</w:t>
            </w:r>
          </w:p>
        </w:tc>
      </w:tr>
      <w:tr w14:paraId="6D42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70" w:type="dxa"/>
            <w:vMerge w:val="continue"/>
            <w:vAlign w:val="center"/>
          </w:tcPr>
          <w:p w14:paraId="6456C35A">
            <w:pPr>
              <w:ind w:left="-40"/>
              <w:jc w:val="center"/>
            </w:pPr>
          </w:p>
        </w:tc>
        <w:tc>
          <w:tcPr>
            <w:tcW w:w="1653" w:type="dxa"/>
            <w:vMerge w:val="continue"/>
            <w:vAlign w:val="center"/>
          </w:tcPr>
          <w:p w14:paraId="775F54BE"/>
        </w:tc>
        <w:tc>
          <w:tcPr>
            <w:tcW w:w="6096" w:type="dxa"/>
            <w:vAlign w:val="center"/>
          </w:tcPr>
          <w:p w14:paraId="18EBD007">
            <w:pPr>
              <w:rPr>
                <w:highlight w:val="none"/>
              </w:rPr>
            </w:pPr>
            <w:r>
              <w:rPr>
                <w:rFonts w:hint="eastAsia"/>
                <w:highlight w:val="none"/>
              </w:rPr>
              <w:t>（4）供应商的实验室参加过的室间质评质控，提供质控证书：国家级的得3分，省级的得2分，市级的得1分；该项最高得3分。</w:t>
            </w:r>
          </w:p>
        </w:tc>
        <w:tc>
          <w:tcPr>
            <w:tcW w:w="708" w:type="dxa"/>
            <w:vAlign w:val="center"/>
          </w:tcPr>
          <w:p w14:paraId="71FD5B39">
            <w:pPr>
              <w:ind w:firstLine="31" w:firstLineChars="13"/>
              <w:jc w:val="center"/>
            </w:pPr>
            <w:r>
              <w:rPr>
                <w:rFonts w:hint="eastAsia"/>
              </w:rPr>
              <w:t>3</w:t>
            </w:r>
          </w:p>
        </w:tc>
      </w:tr>
      <w:tr w14:paraId="5BB5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70" w:type="dxa"/>
            <w:vMerge w:val="continue"/>
            <w:vAlign w:val="center"/>
          </w:tcPr>
          <w:p w14:paraId="5C51D32C">
            <w:pPr>
              <w:ind w:left="-40"/>
              <w:jc w:val="center"/>
            </w:pPr>
          </w:p>
        </w:tc>
        <w:tc>
          <w:tcPr>
            <w:tcW w:w="1653" w:type="dxa"/>
            <w:vMerge w:val="continue"/>
            <w:vAlign w:val="center"/>
          </w:tcPr>
          <w:p w14:paraId="38854FAA">
            <w:pPr>
              <w:ind w:firstLine="480" w:firstLineChars="200"/>
            </w:pPr>
          </w:p>
        </w:tc>
        <w:tc>
          <w:tcPr>
            <w:tcW w:w="6096" w:type="dxa"/>
            <w:vAlign w:val="center"/>
          </w:tcPr>
          <w:p w14:paraId="35DFFB46">
            <w:pPr>
              <w:rPr>
                <w:highlight w:val="none"/>
              </w:rPr>
            </w:pPr>
            <w:r>
              <w:rPr>
                <w:rFonts w:hint="eastAsia"/>
                <w:highlight w:val="none"/>
              </w:rPr>
              <w:t>（5）供应商能够提供实验室质量控制体系的质控管理方案：方案应当完整，且能够反映病理技术专业、检测类别齐全（开展病理项目清单或项目手册。）、完全覆盖项目需求；该项最高得5分。</w:t>
            </w:r>
          </w:p>
        </w:tc>
        <w:tc>
          <w:tcPr>
            <w:tcW w:w="708" w:type="dxa"/>
            <w:vAlign w:val="center"/>
          </w:tcPr>
          <w:p w14:paraId="09D425FA">
            <w:pPr>
              <w:ind w:firstLine="31" w:firstLineChars="13"/>
              <w:jc w:val="center"/>
            </w:pPr>
            <w:r>
              <w:rPr>
                <w:rFonts w:hint="eastAsia"/>
              </w:rPr>
              <w:t>5</w:t>
            </w:r>
          </w:p>
        </w:tc>
      </w:tr>
      <w:tr w14:paraId="03A2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70" w:type="dxa"/>
            <w:vMerge w:val="restart"/>
            <w:vAlign w:val="center"/>
          </w:tcPr>
          <w:p w14:paraId="41CD355F">
            <w:pPr>
              <w:ind w:left="-40"/>
              <w:jc w:val="center"/>
            </w:pPr>
            <w:r>
              <w:rPr>
                <w:rFonts w:hint="eastAsia"/>
              </w:rPr>
              <w:t>2.检测服务方案（22</w:t>
            </w:r>
            <w:r>
              <w:t>分</w:t>
            </w:r>
            <w:r>
              <w:rPr>
                <w:rFonts w:hint="eastAsia"/>
              </w:rPr>
              <w:t>）</w:t>
            </w:r>
          </w:p>
        </w:tc>
        <w:tc>
          <w:tcPr>
            <w:tcW w:w="1653" w:type="dxa"/>
            <w:vMerge w:val="restart"/>
            <w:vAlign w:val="center"/>
          </w:tcPr>
          <w:p w14:paraId="53786BEE">
            <w:r>
              <w:rPr>
                <w:rFonts w:hint="eastAsia"/>
              </w:rPr>
              <w:t>评委就供应商根据本项目检测服务需求和要求，提供的具体检测服务方案进行评审。</w:t>
            </w:r>
          </w:p>
        </w:tc>
        <w:tc>
          <w:tcPr>
            <w:tcW w:w="6096" w:type="dxa"/>
            <w:vAlign w:val="center"/>
          </w:tcPr>
          <w:p w14:paraId="7588ADF3">
            <w:pPr>
              <w:rPr>
                <w:highlight w:val="none"/>
              </w:rPr>
            </w:pPr>
            <w:r>
              <w:rPr>
                <w:rFonts w:hint="eastAsia"/>
                <w:highlight w:val="none"/>
              </w:rPr>
              <w:t>（1）检测服务方案内：提供普通病理报告在2日内出具的，得分3分；提供快速术中冰冻响应时间半小时的，得3分；提供线上报告查询，且报告包含结果解读并附诊断医生电话的，得3分；提供相应的承诺或佐证材料，评审因素可兼得，该项最高得9分。</w:t>
            </w:r>
          </w:p>
        </w:tc>
        <w:tc>
          <w:tcPr>
            <w:tcW w:w="708" w:type="dxa"/>
            <w:vAlign w:val="center"/>
          </w:tcPr>
          <w:p w14:paraId="0CA9DD4C">
            <w:pPr>
              <w:ind w:firstLine="31" w:firstLineChars="13"/>
              <w:jc w:val="center"/>
            </w:pPr>
            <w:r>
              <w:rPr>
                <w:rFonts w:hint="eastAsia"/>
              </w:rPr>
              <w:t xml:space="preserve">9 </w:t>
            </w:r>
          </w:p>
        </w:tc>
      </w:tr>
      <w:tr w14:paraId="7CE9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70" w:type="dxa"/>
            <w:vMerge w:val="continue"/>
            <w:vAlign w:val="center"/>
          </w:tcPr>
          <w:p w14:paraId="4D7D1D80">
            <w:pPr>
              <w:ind w:left="-40"/>
              <w:jc w:val="center"/>
            </w:pPr>
          </w:p>
        </w:tc>
        <w:tc>
          <w:tcPr>
            <w:tcW w:w="1653" w:type="dxa"/>
            <w:vMerge w:val="continue"/>
            <w:vAlign w:val="center"/>
          </w:tcPr>
          <w:p w14:paraId="48B9735E"/>
        </w:tc>
        <w:tc>
          <w:tcPr>
            <w:tcW w:w="6096" w:type="dxa"/>
            <w:vAlign w:val="center"/>
          </w:tcPr>
          <w:p w14:paraId="650F40B8">
            <w:pPr>
              <w:rPr>
                <w:highlight w:val="none"/>
              </w:rPr>
            </w:pPr>
            <w:r>
              <w:rPr>
                <w:rFonts w:hint="eastAsia"/>
                <w:highlight w:val="none"/>
              </w:rPr>
              <w:t>（2）检测服务方案内，供应商能够承诺在突发情况下及时安排人员，提供半小时内响应上门服务的，得3分。</w:t>
            </w:r>
          </w:p>
        </w:tc>
        <w:tc>
          <w:tcPr>
            <w:tcW w:w="708" w:type="dxa"/>
            <w:vAlign w:val="center"/>
          </w:tcPr>
          <w:p w14:paraId="72A87289">
            <w:pPr>
              <w:ind w:firstLine="31" w:firstLineChars="13"/>
              <w:jc w:val="center"/>
            </w:pPr>
            <w:r>
              <w:rPr>
                <w:rFonts w:hint="eastAsia"/>
              </w:rPr>
              <w:t>3</w:t>
            </w:r>
          </w:p>
        </w:tc>
      </w:tr>
      <w:tr w14:paraId="3F9D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70" w:type="dxa"/>
            <w:vMerge w:val="continue"/>
            <w:vAlign w:val="center"/>
          </w:tcPr>
          <w:p w14:paraId="5C37641F">
            <w:pPr>
              <w:ind w:left="-40"/>
              <w:jc w:val="center"/>
            </w:pPr>
          </w:p>
        </w:tc>
        <w:tc>
          <w:tcPr>
            <w:tcW w:w="1653" w:type="dxa"/>
            <w:vMerge w:val="continue"/>
            <w:vAlign w:val="center"/>
          </w:tcPr>
          <w:p w14:paraId="2F308C46"/>
        </w:tc>
        <w:tc>
          <w:tcPr>
            <w:tcW w:w="6096" w:type="dxa"/>
            <w:vAlign w:val="center"/>
          </w:tcPr>
          <w:p w14:paraId="051E9CCC">
            <w:pPr>
              <w:rPr>
                <w:highlight w:val="none"/>
              </w:rPr>
            </w:pPr>
            <w:r>
              <w:rPr>
                <w:rFonts w:hint="eastAsia"/>
                <w:highlight w:val="none"/>
              </w:rPr>
              <w:t>（3）检测服务方案应具有检测服务流程、质控措施等。检测服务流程描述应当详细全面、高效且切合实际；质控措施应当清晰明确、周密完整、合规性强；该项最高得10分。</w:t>
            </w:r>
          </w:p>
        </w:tc>
        <w:tc>
          <w:tcPr>
            <w:tcW w:w="708" w:type="dxa"/>
            <w:vAlign w:val="center"/>
          </w:tcPr>
          <w:p w14:paraId="0C210E8D">
            <w:pPr>
              <w:ind w:firstLine="31" w:firstLineChars="13"/>
              <w:jc w:val="center"/>
            </w:pPr>
            <w:r>
              <w:rPr>
                <w:rFonts w:hint="eastAsia"/>
              </w:rPr>
              <w:t>10</w:t>
            </w:r>
          </w:p>
        </w:tc>
      </w:tr>
      <w:tr w14:paraId="4A26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70" w:type="dxa"/>
            <w:vMerge w:val="restart"/>
            <w:vAlign w:val="center"/>
          </w:tcPr>
          <w:p w14:paraId="7DB292B9">
            <w:pPr>
              <w:ind w:left="-40"/>
              <w:jc w:val="center"/>
            </w:pPr>
            <w:r>
              <w:rPr>
                <w:rFonts w:hint="eastAsia"/>
              </w:rPr>
              <w:t>3.技术</w:t>
            </w:r>
            <w:r>
              <w:t>服务方案</w:t>
            </w:r>
          </w:p>
          <w:p w14:paraId="3759D1B4">
            <w:pPr>
              <w:ind w:left="-40" w:right="-55" w:rightChars="-23"/>
              <w:jc w:val="center"/>
            </w:pPr>
            <w:r>
              <w:t>（</w:t>
            </w:r>
            <w:r>
              <w:rPr>
                <w:rFonts w:hint="eastAsia"/>
              </w:rPr>
              <w:t>28</w:t>
            </w:r>
            <w:r>
              <w:t>分）</w:t>
            </w:r>
          </w:p>
        </w:tc>
        <w:tc>
          <w:tcPr>
            <w:tcW w:w="1653" w:type="dxa"/>
            <w:vMerge w:val="restart"/>
            <w:vAlign w:val="center"/>
          </w:tcPr>
          <w:p w14:paraId="42E684E6">
            <w:r>
              <w:rPr>
                <w:rFonts w:hint="eastAsia"/>
              </w:rPr>
              <w:t>评委就供应商</w:t>
            </w:r>
            <w:r>
              <w:t>根据本项目</w:t>
            </w:r>
            <w:r>
              <w:rPr>
                <w:rFonts w:hint="eastAsia"/>
              </w:rPr>
              <w:t>技术服务需求和要求，提供的具体技术服务方案包含人力资源、培训等计划方案</w:t>
            </w:r>
            <w:r>
              <w:t>进行评审。</w:t>
            </w:r>
          </w:p>
        </w:tc>
        <w:tc>
          <w:tcPr>
            <w:tcW w:w="6096" w:type="dxa"/>
            <w:vAlign w:val="center"/>
          </w:tcPr>
          <w:p w14:paraId="3301D217">
            <w:pPr>
              <w:ind w:firstLine="31" w:firstLineChars="13"/>
              <w:rPr>
                <w:highlight w:val="none"/>
              </w:rPr>
            </w:pPr>
            <w:r>
              <w:rPr>
                <w:highlight w:val="none"/>
              </w:rPr>
              <w:t>（1）</w:t>
            </w:r>
            <w:r>
              <w:rPr>
                <w:rFonts w:hint="eastAsia"/>
                <w:highlight w:val="none"/>
              </w:rPr>
              <w:t>供应商具有科研服务能力，提供相应的科研设备目录清单和设备图片佐证材料的，得2分，设备种类多、用途广的，经评审可加1分；该项最高得3分。</w:t>
            </w:r>
          </w:p>
        </w:tc>
        <w:tc>
          <w:tcPr>
            <w:tcW w:w="708" w:type="dxa"/>
            <w:vAlign w:val="center"/>
          </w:tcPr>
          <w:p w14:paraId="36FF7C01">
            <w:pPr>
              <w:ind w:firstLine="31" w:firstLineChars="13"/>
              <w:jc w:val="center"/>
            </w:pPr>
            <w:r>
              <w:rPr>
                <w:rFonts w:hint="eastAsia"/>
              </w:rPr>
              <w:t>3</w:t>
            </w:r>
          </w:p>
        </w:tc>
      </w:tr>
      <w:tr w14:paraId="3C40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70" w:type="dxa"/>
            <w:vMerge w:val="continue"/>
            <w:vAlign w:val="center"/>
          </w:tcPr>
          <w:p w14:paraId="75197C27">
            <w:pPr>
              <w:ind w:left="-40"/>
              <w:jc w:val="center"/>
            </w:pPr>
          </w:p>
        </w:tc>
        <w:tc>
          <w:tcPr>
            <w:tcW w:w="1653" w:type="dxa"/>
            <w:vMerge w:val="continue"/>
            <w:vAlign w:val="center"/>
          </w:tcPr>
          <w:p w14:paraId="41B12ABC"/>
        </w:tc>
        <w:tc>
          <w:tcPr>
            <w:tcW w:w="6096" w:type="dxa"/>
            <w:vAlign w:val="center"/>
          </w:tcPr>
          <w:p w14:paraId="6E9EFD68">
            <w:pPr>
              <w:ind w:firstLine="31" w:firstLineChars="13"/>
              <w:rPr>
                <w:highlight w:val="none"/>
              </w:rPr>
            </w:pPr>
            <w:r>
              <w:rPr>
                <w:rFonts w:hint="eastAsia"/>
                <w:highlight w:val="none"/>
              </w:rPr>
              <w:t>（2）供应商拟安排的技术服务团队成员中应具有病理中心诊断医师。人员具有副主任诊断医师资质，能提供其资质证书、履历说明和聘用合同材料的，得2分；人员具有主任诊断医师资质，能提供其资质证书、履历说明和聘用合同材料的，得4分；该项最高得4分。</w:t>
            </w:r>
          </w:p>
        </w:tc>
        <w:tc>
          <w:tcPr>
            <w:tcW w:w="708" w:type="dxa"/>
            <w:vAlign w:val="center"/>
          </w:tcPr>
          <w:p w14:paraId="015BE2AF">
            <w:pPr>
              <w:ind w:firstLine="31" w:firstLineChars="13"/>
              <w:jc w:val="center"/>
            </w:pPr>
            <w:r>
              <w:rPr>
                <w:rFonts w:hint="eastAsia"/>
              </w:rPr>
              <w:t>4</w:t>
            </w:r>
          </w:p>
        </w:tc>
      </w:tr>
      <w:tr w14:paraId="158C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70" w:type="dxa"/>
            <w:vMerge w:val="continue"/>
            <w:vAlign w:val="center"/>
          </w:tcPr>
          <w:p w14:paraId="01AD3309">
            <w:pPr>
              <w:ind w:left="-40"/>
              <w:jc w:val="center"/>
            </w:pPr>
          </w:p>
        </w:tc>
        <w:tc>
          <w:tcPr>
            <w:tcW w:w="1653" w:type="dxa"/>
            <w:vMerge w:val="continue"/>
            <w:vAlign w:val="center"/>
          </w:tcPr>
          <w:p w14:paraId="03567237"/>
        </w:tc>
        <w:tc>
          <w:tcPr>
            <w:tcW w:w="6096" w:type="dxa"/>
            <w:vAlign w:val="center"/>
          </w:tcPr>
          <w:p w14:paraId="2505658B">
            <w:pPr>
              <w:ind w:firstLine="31" w:firstLineChars="13"/>
              <w:rPr>
                <w:highlight w:val="none"/>
              </w:rPr>
            </w:pPr>
            <w:r>
              <w:rPr>
                <w:rFonts w:hint="eastAsia"/>
                <w:highlight w:val="none"/>
              </w:rPr>
              <w:t>（3）供应商拟安排的技术服务团队成员中，具有聘用合同的中级以上资质病理技术人员的，提供相应的佐证材料，得2分。</w:t>
            </w:r>
          </w:p>
        </w:tc>
        <w:tc>
          <w:tcPr>
            <w:tcW w:w="708" w:type="dxa"/>
            <w:vAlign w:val="center"/>
          </w:tcPr>
          <w:p w14:paraId="0F0565BC">
            <w:pPr>
              <w:ind w:firstLine="31" w:firstLineChars="13"/>
              <w:jc w:val="center"/>
            </w:pPr>
            <w:r>
              <w:rPr>
                <w:rFonts w:hint="eastAsia"/>
              </w:rPr>
              <w:t>2</w:t>
            </w:r>
          </w:p>
        </w:tc>
      </w:tr>
      <w:tr w14:paraId="5A2B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70" w:type="dxa"/>
            <w:vMerge w:val="continue"/>
            <w:vAlign w:val="center"/>
          </w:tcPr>
          <w:p w14:paraId="7615BE29">
            <w:pPr>
              <w:ind w:left="-40"/>
              <w:jc w:val="center"/>
            </w:pPr>
          </w:p>
        </w:tc>
        <w:tc>
          <w:tcPr>
            <w:tcW w:w="1653" w:type="dxa"/>
            <w:vMerge w:val="continue"/>
            <w:vAlign w:val="center"/>
          </w:tcPr>
          <w:p w14:paraId="0121D840"/>
        </w:tc>
        <w:tc>
          <w:tcPr>
            <w:tcW w:w="6096" w:type="dxa"/>
            <w:vAlign w:val="center"/>
          </w:tcPr>
          <w:p w14:paraId="34338A93">
            <w:pPr>
              <w:ind w:firstLine="31" w:firstLineChars="13"/>
              <w:rPr>
                <w:highlight w:val="none"/>
              </w:rPr>
            </w:pPr>
            <w:r>
              <w:rPr>
                <w:rFonts w:hint="eastAsia"/>
                <w:highlight w:val="none"/>
              </w:rPr>
              <w:t>（4）供应商拟安排的诊疗技术服务团队成员中，具有聘用合同的病理博导，提供相应的佐证材料，得3分。</w:t>
            </w:r>
          </w:p>
        </w:tc>
        <w:tc>
          <w:tcPr>
            <w:tcW w:w="708" w:type="dxa"/>
            <w:vAlign w:val="center"/>
          </w:tcPr>
          <w:p w14:paraId="440CD9F4">
            <w:pPr>
              <w:ind w:firstLine="31" w:firstLineChars="13"/>
              <w:jc w:val="center"/>
            </w:pPr>
            <w:r>
              <w:rPr>
                <w:rFonts w:hint="eastAsia"/>
              </w:rPr>
              <w:t>3</w:t>
            </w:r>
          </w:p>
        </w:tc>
      </w:tr>
      <w:tr w14:paraId="1AF7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70" w:type="dxa"/>
            <w:vMerge w:val="continue"/>
            <w:vAlign w:val="center"/>
          </w:tcPr>
          <w:p w14:paraId="6439B6C3">
            <w:pPr>
              <w:ind w:left="-40"/>
              <w:jc w:val="center"/>
            </w:pPr>
          </w:p>
        </w:tc>
        <w:tc>
          <w:tcPr>
            <w:tcW w:w="1653" w:type="dxa"/>
            <w:vMerge w:val="continue"/>
            <w:vAlign w:val="center"/>
          </w:tcPr>
          <w:p w14:paraId="29D31D69"/>
        </w:tc>
        <w:tc>
          <w:tcPr>
            <w:tcW w:w="6096" w:type="dxa"/>
            <w:vAlign w:val="center"/>
          </w:tcPr>
          <w:p w14:paraId="70A4F0A4">
            <w:pPr>
              <w:ind w:firstLine="31" w:firstLineChars="13"/>
              <w:rPr>
                <w:highlight w:val="none"/>
              </w:rPr>
            </w:pPr>
            <w:r>
              <w:rPr>
                <w:rFonts w:hint="eastAsia"/>
                <w:highlight w:val="none"/>
              </w:rPr>
              <w:t>（5）供应商拟安排的技术服务团队成员中，带教老师具有教学资质和聘用合同的，提供相应的佐证材料，得2分。</w:t>
            </w:r>
          </w:p>
        </w:tc>
        <w:tc>
          <w:tcPr>
            <w:tcW w:w="708" w:type="dxa"/>
            <w:vAlign w:val="center"/>
          </w:tcPr>
          <w:p w14:paraId="736B0F56">
            <w:pPr>
              <w:ind w:firstLine="31" w:firstLineChars="13"/>
              <w:jc w:val="center"/>
            </w:pPr>
            <w:r>
              <w:rPr>
                <w:rFonts w:hint="eastAsia"/>
              </w:rPr>
              <w:t>2</w:t>
            </w:r>
          </w:p>
        </w:tc>
      </w:tr>
      <w:tr w14:paraId="4AD3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70" w:type="dxa"/>
            <w:vMerge w:val="continue"/>
            <w:vAlign w:val="center"/>
          </w:tcPr>
          <w:p w14:paraId="128A601F">
            <w:pPr>
              <w:ind w:left="-40"/>
              <w:jc w:val="center"/>
            </w:pPr>
          </w:p>
        </w:tc>
        <w:tc>
          <w:tcPr>
            <w:tcW w:w="1653" w:type="dxa"/>
            <w:vMerge w:val="continue"/>
            <w:vAlign w:val="center"/>
          </w:tcPr>
          <w:p w14:paraId="3EC893AD"/>
        </w:tc>
        <w:tc>
          <w:tcPr>
            <w:tcW w:w="6096" w:type="dxa"/>
            <w:vAlign w:val="center"/>
          </w:tcPr>
          <w:p w14:paraId="0338A38C">
            <w:pPr>
              <w:ind w:firstLine="31" w:firstLineChars="13"/>
              <w:rPr>
                <w:highlight w:val="none"/>
              </w:rPr>
            </w:pPr>
            <w:r>
              <w:rPr>
                <w:rFonts w:hint="eastAsia"/>
                <w:highlight w:val="none"/>
              </w:rPr>
              <w:t>（6）供应商提供的培训教学方案内：有培训教材且能反映具体时间安排的，得2分；有相应培训设备和场地的，得2分；评审因素可兼得，该项最高的4分。</w:t>
            </w:r>
          </w:p>
        </w:tc>
        <w:tc>
          <w:tcPr>
            <w:tcW w:w="708" w:type="dxa"/>
            <w:vAlign w:val="center"/>
          </w:tcPr>
          <w:p w14:paraId="02FDCC40">
            <w:pPr>
              <w:ind w:firstLine="31" w:firstLineChars="13"/>
              <w:jc w:val="center"/>
            </w:pPr>
            <w:r>
              <w:rPr>
                <w:rFonts w:hint="eastAsia"/>
              </w:rPr>
              <w:t>4</w:t>
            </w:r>
          </w:p>
        </w:tc>
      </w:tr>
      <w:tr w14:paraId="6DF2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70" w:type="dxa"/>
            <w:vMerge w:val="continue"/>
            <w:vAlign w:val="center"/>
          </w:tcPr>
          <w:p w14:paraId="2D66C4D5">
            <w:pPr>
              <w:ind w:left="-40"/>
              <w:jc w:val="center"/>
            </w:pPr>
          </w:p>
        </w:tc>
        <w:tc>
          <w:tcPr>
            <w:tcW w:w="1653" w:type="dxa"/>
            <w:vMerge w:val="continue"/>
            <w:vAlign w:val="center"/>
          </w:tcPr>
          <w:p w14:paraId="19D913B0"/>
        </w:tc>
        <w:tc>
          <w:tcPr>
            <w:tcW w:w="6096" w:type="dxa"/>
            <w:vAlign w:val="center"/>
          </w:tcPr>
          <w:p w14:paraId="07741ADC">
            <w:pPr>
              <w:ind w:firstLine="31" w:firstLineChars="13"/>
              <w:rPr>
                <w:highlight w:val="none"/>
              </w:rPr>
            </w:pPr>
            <w:r>
              <w:rPr>
                <w:rFonts w:hint="eastAsia"/>
                <w:highlight w:val="none"/>
              </w:rPr>
              <w:t>（7）评委就供应商提供的技术服务方案整体进行评审：方案内的服务目标理解准确，对服务内容的描述详细全面，服务实施切合实际可操作性强，完全满足项目技术服务要求；该项最高得</w:t>
            </w:r>
            <w:r>
              <w:rPr>
                <w:rFonts w:hint="eastAsia"/>
                <w:highlight w:val="none"/>
                <w:lang w:val="en-US" w:eastAsia="zh-CN"/>
              </w:rPr>
              <w:t>5</w:t>
            </w:r>
            <w:r>
              <w:rPr>
                <w:rFonts w:hint="eastAsia"/>
                <w:highlight w:val="none"/>
              </w:rPr>
              <w:t>分。</w:t>
            </w:r>
          </w:p>
        </w:tc>
        <w:tc>
          <w:tcPr>
            <w:tcW w:w="708" w:type="dxa"/>
            <w:vAlign w:val="center"/>
          </w:tcPr>
          <w:p w14:paraId="530BB3C8">
            <w:pPr>
              <w:ind w:firstLine="31" w:firstLineChars="13"/>
              <w:jc w:val="center"/>
              <w:rPr>
                <w:rFonts w:hint="eastAsia" w:eastAsia="宋体"/>
                <w:lang w:eastAsia="zh-CN"/>
              </w:rPr>
            </w:pPr>
            <w:r>
              <w:rPr>
                <w:rFonts w:hint="eastAsia"/>
                <w:lang w:val="en-US" w:eastAsia="zh-CN"/>
              </w:rPr>
              <w:t>5</w:t>
            </w:r>
          </w:p>
        </w:tc>
      </w:tr>
      <w:tr w14:paraId="7292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70" w:type="dxa"/>
            <w:vMerge w:val="continue"/>
            <w:vAlign w:val="center"/>
          </w:tcPr>
          <w:p w14:paraId="3D46FC70">
            <w:pPr>
              <w:ind w:left="-40"/>
              <w:jc w:val="center"/>
            </w:pPr>
          </w:p>
        </w:tc>
        <w:tc>
          <w:tcPr>
            <w:tcW w:w="1653" w:type="dxa"/>
            <w:vMerge w:val="continue"/>
            <w:vAlign w:val="center"/>
          </w:tcPr>
          <w:p w14:paraId="42E2F048"/>
        </w:tc>
        <w:tc>
          <w:tcPr>
            <w:tcW w:w="6096" w:type="dxa"/>
            <w:vAlign w:val="center"/>
          </w:tcPr>
          <w:p w14:paraId="41A63E4C">
            <w:pPr>
              <w:numPr>
                <w:ilvl w:val="0"/>
                <w:numId w:val="0"/>
              </w:numPr>
              <w:spacing w:line="360" w:lineRule="auto"/>
              <w:rPr>
                <w:rFonts w:hint="default"/>
                <w:highlight w:val="none"/>
                <w:lang w:val="en-US"/>
              </w:rPr>
            </w:pPr>
            <w:r>
              <w:rPr>
                <w:rFonts w:hint="eastAsia"/>
                <w:highlight w:val="none"/>
                <w:lang w:val="en-US" w:eastAsia="zh-CN"/>
              </w:rPr>
              <w:t>(8)根据数据质控及生物信息安全等因素考虑，供应商为南通本地公司得5分，非南通本地公司不得分</w:t>
            </w:r>
          </w:p>
          <w:p w14:paraId="1BD4849E">
            <w:pPr>
              <w:rPr>
                <w:rFonts w:hint="default" w:eastAsia="宋体"/>
                <w:highlight w:val="none"/>
                <w:lang w:val="en-US" w:eastAsia="zh-CN"/>
              </w:rPr>
            </w:pPr>
          </w:p>
        </w:tc>
        <w:tc>
          <w:tcPr>
            <w:tcW w:w="708" w:type="dxa"/>
            <w:vAlign w:val="center"/>
          </w:tcPr>
          <w:p w14:paraId="5D250231">
            <w:pPr>
              <w:ind w:firstLine="31" w:firstLineChars="13"/>
              <w:jc w:val="center"/>
              <w:rPr>
                <w:rFonts w:hint="eastAsia" w:eastAsia="宋体"/>
                <w:lang w:val="en-US" w:eastAsia="zh-CN"/>
              </w:rPr>
            </w:pPr>
            <w:r>
              <w:rPr>
                <w:rFonts w:hint="eastAsia"/>
                <w:lang w:val="en-US" w:eastAsia="zh-CN"/>
              </w:rPr>
              <w:t>5</w:t>
            </w:r>
          </w:p>
        </w:tc>
      </w:tr>
    </w:tbl>
    <w:p w14:paraId="5C287019">
      <w:pPr>
        <w:rPr>
          <w:sz w:val="24"/>
        </w:rPr>
      </w:pPr>
    </w:p>
    <w:p w14:paraId="68B2CB65">
      <w:pPr>
        <w:adjustRightInd/>
        <w:snapToGrid/>
        <w:spacing w:after="0"/>
        <w:rPr>
          <w:rFonts w:hint="default" w:ascii="微软雅黑" w:hAnsi="微软雅黑" w:cs="宋体"/>
          <w:color w:val="333333"/>
          <w:sz w:val="24"/>
          <w:szCs w:val="24"/>
          <w:lang w:val="en-US" w:eastAsia="zh-CN"/>
        </w:rPr>
      </w:pPr>
      <w:r>
        <w:rPr>
          <w:rFonts w:hint="eastAsia" w:ascii="微软雅黑" w:hAnsi="微软雅黑" w:cs="宋体"/>
          <w:b/>
          <w:bCs/>
          <w:color w:val="333333"/>
          <w:sz w:val="24"/>
          <w:szCs w:val="24"/>
          <w:lang w:val="en-US" w:eastAsia="zh-CN"/>
        </w:rPr>
        <w:t>八</w:t>
      </w:r>
      <w:r>
        <w:rPr>
          <w:rFonts w:hint="eastAsia" w:ascii="微软雅黑" w:hAnsi="微软雅黑" w:cs="宋体"/>
          <w:b/>
          <w:bCs/>
          <w:color w:val="333333"/>
          <w:sz w:val="24"/>
          <w:szCs w:val="24"/>
        </w:rPr>
        <w:t>、</w:t>
      </w:r>
      <w:r>
        <w:rPr>
          <w:rFonts w:hint="eastAsia" w:ascii="微软雅黑" w:hAnsi="微软雅黑" w:cs="宋体"/>
          <w:b/>
          <w:bCs/>
          <w:color w:val="333333"/>
          <w:sz w:val="24"/>
          <w:szCs w:val="24"/>
          <w:lang w:val="en-US" w:eastAsia="zh-CN"/>
        </w:rPr>
        <w:t>报价一览表</w:t>
      </w:r>
    </w:p>
    <w:p w14:paraId="25194090">
      <w:pPr>
        <w:spacing w:line="360" w:lineRule="auto"/>
        <w:jc w:val="center"/>
        <w:rPr>
          <w:rFonts w:ascii="仿宋" w:hAnsi="仿宋" w:eastAsia="仿宋" w:cs="Times New Roman"/>
          <w:b/>
          <w:sz w:val="44"/>
          <w:szCs w:val="44"/>
        </w:rPr>
      </w:pPr>
      <w:r>
        <w:rPr>
          <w:rFonts w:hint="eastAsia" w:ascii="仿宋" w:hAnsi="仿宋" w:eastAsia="仿宋" w:cs="Times New Roman"/>
          <w:b/>
          <w:sz w:val="44"/>
          <w:szCs w:val="44"/>
        </w:rPr>
        <w:t>报价</w:t>
      </w:r>
      <w:r>
        <w:rPr>
          <w:rFonts w:ascii="仿宋" w:hAnsi="仿宋" w:eastAsia="仿宋" w:cs="Times New Roman"/>
          <w:b/>
          <w:sz w:val="44"/>
          <w:szCs w:val="44"/>
        </w:rPr>
        <w:t>表</w:t>
      </w:r>
    </w:p>
    <w:p w14:paraId="5A2FC2A1">
      <w:pPr>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w:t>
      </w:r>
      <w:r>
        <w:rPr>
          <w:rFonts w:ascii="仿宋" w:hAnsi="仿宋" w:eastAsia="仿宋" w:cs="Times New Roman"/>
          <w:sz w:val="28"/>
          <w:szCs w:val="28"/>
        </w:rPr>
        <w:t>日期：</w:t>
      </w:r>
      <w:r>
        <w:rPr>
          <w:rFonts w:hint="eastAsia" w:ascii="仿宋" w:hAnsi="仿宋" w:eastAsia="仿宋" w:cs="Times New Roman"/>
          <w:sz w:val="28"/>
          <w:szCs w:val="28"/>
        </w:rPr>
        <w:t xml:space="preserve">   年   月  日</w:t>
      </w:r>
    </w:p>
    <w:tbl>
      <w:tblPr>
        <w:tblStyle w:val="5"/>
        <w:tblW w:w="8921" w:type="dxa"/>
        <w:tblInd w:w="0" w:type="dxa"/>
        <w:tblLayout w:type="autofit"/>
        <w:tblCellMar>
          <w:top w:w="0" w:type="dxa"/>
          <w:left w:w="108" w:type="dxa"/>
          <w:bottom w:w="0" w:type="dxa"/>
          <w:right w:w="108" w:type="dxa"/>
        </w:tblCellMar>
      </w:tblPr>
      <w:tblGrid>
        <w:gridCol w:w="2737"/>
        <w:gridCol w:w="1648"/>
        <w:gridCol w:w="2268"/>
        <w:gridCol w:w="2268"/>
      </w:tblGrid>
      <w:tr w14:paraId="0FB8D884">
        <w:tblPrEx>
          <w:tblCellMar>
            <w:top w:w="0" w:type="dxa"/>
            <w:left w:w="108" w:type="dxa"/>
            <w:bottom w:w="0" w:type="dxa"/>
            <w:right w:w="108" w:type="dxa"/>
          </w:tblCellMar>
        </w:tblPrEx>
        <w:trPr>
          <w:trHeight w:val="540"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2DE19F82">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r>
              <w:rPr>
                <w:rFonts w:ascii="仿宋" w:hAnsi="仿宋" w:eastAsia="仿宋" w:cs="宋体"/>
                <w:b/>
                <w:bCs/>
                <w:kern w:val="0"/>
                <w:sz w:val="24"/>
                <w:szCs w:val="24"/>
              </w:rPr>
              <w:t>名称</w:t>
            </w:r>
          </w:p>
        </w:tc>
        <w:tc>
          <w:tcPr>
            <w:tcW w:w="6184" w:type="dxa"/>
            <w:gridSpan w:val="3"/>
            <w:tcBorders>
              <w:top w:val="single" w:color="auto" w:sz="8" w:space="0"/>
              <w:left w:val="nil"/>
              <w:bottom w:val="single" w:color="auto" w:sz="8" w:space="0"/>
              <w:right w:val="single" w:color="auto" w:sz="8" w:space="0"/>
            </w:tcBorders>
            <w:noWrap w:val="0"/>
            <w:vAlign w:val="center"/>
          </w:tcPr>
          <w:p w14:paraId="589F2F77">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Times New Roman"/>
                <w:sz w:val="28"/>
                <w:szCs w:val="28"/>
              </w:rPr>
              <w:t>南通市</w:t>
            </w:r>
            <w:r>
              <w:rPr>
                <w:rFonts w:ascii="仿宋" w:hAnsi="仿宋" w:eastAsia="仿宋" w:cs="Times New Roman"/>
                <w:sz w:val="28"/>
                <w:szCs w:val="28"/>
              </w:rPr>
              <w:t>第二人民</w:t>
            </w:r>
            <w:r>
              <w:rPr>
                <w:rFonts w:hint="eastAsia" w:ascii="仿宋" w:hAnsi="仿宋" w:eastAsia="仿宋" w:cs="Times New Roman"/>
                <w:sz w:val="28"/>
                <w:szCs w:val="28"/>
              </w:rPr>
              <w:t>医院</w:t>
            </w:r>
            <w:r>
              <w:rPr>
                <w:rFonts w:hint="eastAsia" w:ascii="仿宋" w:hAnsi="仿宋" w:eastAsia="仿宋" w:cs="Times New Roman"/>
                <w:sz w:val="28"/>
                <w:szCs w:val="28"/>
                <w:lang w:val="en-US" w:eastAsia="zh-CN"/>
              </w:rPr>
              <w:t>病理外送</w:t>
            </w:r>
            <w:r>
              <w:rPr>
                <w:rFonts w:ascii="仿宋" w:hAnsi="仿宋" w:eastAsia="仿宋" w:cs="Times New Roman"/>
                <w:sz w:val="28"/>
                <w:szCs w:val="28"/>
              </w:rPr>
              <w:t>项目</w:t>
            </w:r>
          </w:p>
        </w:tc>
      </w:tr>
      <w:tr w14:paraId="283E0947">
        <w:tblPrEx>
          <w:tblCellMar>
            <w:top w:w="0" w:type="dxa"/>
            <w:left w:w="108" w:type="dxa"/>
            <w:bottom w:w="0" w:type="dxa"/>
            <w:right w:w="108" w:type="dxa"/>
          </w:tblCellMar>
        </w:tblPrEx>
        <w:trPr>
          <w:trHeight w:val="1844"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09E274A3">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公司全称</w:t>
            </w:r>
            <w:r>
              <w:rPr>
                <w:rFonts w:ascii="仿宋" w:hAnsi="仿宋" w:eastAsia="仿宋" w:cs="宋体"/>
                <w:b/>
                <w:bCs/>
                <w:kern w:val="0"/>
                <w:sz w:val="24"/>
                <w:szCs w:val="24"/>
              </w:rPr>
              <w:t>（</w:t>
            </w:r>
            <w:r>
              <w:rPr>
                <w:rFonts w:hint="eastAsia" w:ascii="仿宋" w:hAnsi="仿宋" w:eastAsia="仿宋" w:cs="宋体"/>
                <w:b/>
                <w:bCs/>
                <w:kern w:val="0"/>
                <w:sz w:val="24"/>
                <w:szCs w:val="24"/>
              </w:rPr>
              <w:t>盖章</w:t>
            </w:r>
            <w:r>
              <w:rPr>
                <w:rFonts w:ascii="仿宋" w:hAnsi="仿宋" w:eastAsia="仿宋" w:cs="宋体"/>
                <w:b/>
                <w:bCs/>
                <w:kern w:val="0"/>
                <w:sz w:val="24"/>
                <w:szCs w:val="24"/>
              </w:rPr>
              <w:t>）</w:t>
            </w:r>
          </w:p>
        </w:tc>
        <w:tc>
          <w:tcPr>
            <w:tcW w:w="6184" w:type="dxa"/>
            <w:gridSpan w:val="3"/>
            <w:tcBorders>
              <w:top w:val="single" w:color="auto" w:sz="8" w:space="0"/>
              <w:left w:val="nil"/>
              <w:bottom w:val="single" w:color="auto" w:sz="8" w:space="0"/>
              <w:right w:val="single" w:color="auto" w:sz="8" w:space="0"/>
            </w:tcBorders>
            <w:noWrap w:val="0"/>
            <w:vAlign w:val="center"/>
          </w:tcPr>
          <w:p w14:paraId="318390D1">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p>
        </w:tc>
      </w:tr>
      <w:tr w14:paraId="6FF0D50C">
        <w:tblPrEx>
          <w:tblCellMar>
            <w:top w:w="0" w:type="dxa"/>
            <w:left w:w="108" w:type="dxa"/>
            <w:bottom w:w="0" w:type="dxa"/>
            <w:right w:w="108" w:type="dxa"/>
          </w:tblCellMar>
        </w:tblPrEx>
        <w:trPr>
          <w:trHeight w:val="540"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31FB6810">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业务员</w:t>
            </w:r>
            <w:r>
              <w:rPr>
                <w:rFonts w:ascii="仿宋" w:hAnsi="仿宋" w:eastAsia="仿宋" w:cs="宋体"/>
                <w:b/>
                <w:bCs/>
                <w:kern w:val="0"/>
                <w:sz w:val="24"/>
                <w:szCs w:val="24"/>
              </w:rPr>
              <w:t>姓名</w:t>
            </w:r>
          </w:p>
        </w:tc>
        <w:tc>
          <w:tcPr>
            <w:tcW w:w="1648" w:type="dxa"/>
            <w:tcBorders>
              <w:top w:val="single" w:color="auto" w:sz="8" w:space="0"/>
              <w:left w:val="nil"/>
              <w:bottom w:val="single" w:color="auto" w:sz="8" w:space="0"/>
              <w:right w:val="single" w:color="auto" w:sz="8" w:space="0"/>
            </w:tcBorders>
            <w:noWrap w:val="0"/>
            <w:vAlign w:val="center"/>
          </w:tcPr>
          <w:p w14:paraId="2C76B16F">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p>
        </w:tc>
        <w:tc>
          <w:tcPr>
            <w:tcW w:w="2268" w:type="dxa"/>
            <w:tcBorders>
              <w:top w:val="single" w:color="auto" w:sz="8" w:space="0"/>
              <w:left w:val="nil"/>
              <w:bottom w:val="single" w:color="auto" w:sz="8" w:space="0"/>
              <w:right w:val="single" w:color="auto" w:sz="8" w:space="0"/>
            </w:tcBorders>
            <w:noWrap w:val="0"/>
            <w:vAlign w:val="center"/>
          </w:tcPr>
          <w:p w14:paraId="140F89E2">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联系</w:t>
            </w:r>
            <w:r>
              <w:rPr>
                <w:rFonts w:ascii="仿宋" w:hAnsi="仿宋" w:eastAsia="仿宋" w:cs="宋体"/>
                <w:b/>
                <w:bCs/>
                <w:kern w:val="0"/>
                <w:sz w:val="24"/>
                <w:szCs w:val="24"/>
              </w:rPr>
              <w:t>电</w:t>
            </w:r>
            <w:r>
              <w:rPr>
                <w:rFonts w:hint="eastAsia" w:ascii="仿宋" w:hAnsi="仿宋" w:eastAsia="仿宋" w:cs="宋体"/>
                <w:b/>
                <w:bCs/>
                <w:kern w:val="0"/>
                <w:sz w:val="24"/>
                <w:szCs w:val="24"/>
              </w:rPr>
              <w:t>话</w:t>
            </w:r>
          </w:p>
        </w:tc>
        <w:tc>
          <w:tcPr>
            <w:tcW w:w="2268" w:type="dxa"/>
            <w:tcBorders>
              <w:top w:val="single" w:color="auto" w:sz="8" w:space="0"/>
              <w:left w:val="nil"/>
              <w:bottom w:val="single" w:color="auto" w:sz="8" w:space="0"/>
              <w:right w:val="single" w:color="auto" w:sz="8" w:space="0"/>
            </w:tcBorders>
            <w:noWrap w:val="0"/>
            <w:vAlign w:val="top"/>
          </w:tcPr>
          <w:p w14:paraId="1981E6DD">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p>
        </w:tc>
      </w:tr>
      <w:tr w14:paraId="234B88FA">
        <w:tblPrEx>
          <w:tblCellMar>
            <w:top w:w="0" w:type="dxa"/>
            <w:left w:w="108" w:type="dxa"/>
            <w:bottom w:w="0" w:type="dxa"/>
            <w:right w:w="108" w:type="dxa"/>
          </w:tblCellMar>
        </w:tblPrEx>
        <w:trPr>
          <w:trHeight w:val="1128"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022E3F5E">
            <w:pPr>
              <w:keepNext w:val="0"/>
              <w:keepLines w:val="0"/>
              <w:widowControl/>
              <w:suppressLineNumbers w:val="0"/>
              <w:spacing w:before="0" w:beforeAutospacing="0" w:after="0" w:afterAutospacing="0" w:line="360" w:lineRule="auto"/>
              <w:ind w:left="0" w:right="0"/>
              <w:jc w:val="center"/>
              <w:rPr>
                <w:rFonts w:ascii="仿宋" w:hAnsi="仿宋" w:eastAsia="仿宋" w:cs="宋体"/>
                <w:b/>
                <w:bCs/>
                <w:kern w:val="0"/>
                <w:sz w:val="24"/>
                <w:szCs w:val="24"/>
              </w:rPr>
            </w:pPr>
            <w:r>
              <w:rPr>
                <w:rFonts w:hint="eastAsia" w:ascii="仿宋" w:hAnsi="仿宋" w:eastAsia="仿宋" w:cs="宋体"/>
                <w:b/>
                <w:bCs/>
                <w:kern w:val="0"/>
                <w:sz w:val="24"/>
                <w:szCs w:val="24"/>
              </w:rPr>
              <w:t>公司</w:t>
            </w:r>
            <w:r>
              <w:rPr>
                <w:rFonts w:ascii="仿宋" w:hAnsi="仿宋" w:eastAsia="仿宋" w:cs="宋体"/>
                <w:b/>
                <w:bCs/>
                <w:kern w:val="0"/>
                <w:sz w:val="24"/>
                <w:szCs w:val="24"/>
              </w:rPr>
              <w:t>承诺</w:t>
            </w:r>
          </w:p>
        </w:tc>
        <w:tc>
          <w:tcPr>
            <w:tcW w:w="6184" w:type="dxa"/>
            <w:gridSpan w:val="3"/>
            <w:tcBorders>
              <w:top w:val="single" w:color="auto" w:sz="8" w:space="0"/>
              <w:left w:val="nil"/>
              <w:bottom w:val="single" w:color="auto" w:sz="8" w:space="0"/>
              <w:right w:val="single" w:color="auto" w:sz="8" w:space="0"/>
            </w:tcBorders>
            <w:noWrap w:val="0"/>
            <w:vAlign w:val="center"/>
          </w:tcPr>
          <w:p w14:paraId="0D946CAD">
            <w:pPr>
              <w:keepNext w:val="0"/>
              <w:keepLines w:val="0"/>
              <w:widowControl/>
              <w:suppressLineNumbers w:val="0"/>
              <w:spacing w:before="0" w:beforeAutospacing="0" w:after="0" w:afterAutospacing="0" w:line="360" w:lineRule="auto"/>
              <w:ind w:left="0" w:right="0" w:firstLine="480" w:firstLineChars="200"/>
              <w:jc w:val="left"/>
              <w:rPr>
                <w:rFonts w:hint="eastAsia" w:ascii="仿宋" w:hAnsi="仿宋" w:eastAsia="宋体" w:cs="宋体"/>
                <w:bCs/>
                <w:kern w:val="0"/>
                <w:sz w:val="24"/>
                <w:szCs w:val="24"/>
                <w:lang w:eastAsia="zh-CN"/>
              </w:rPr>
            </w:pPr>
            <w:r>
              <w:rPr>
                <w:rFonts w:hint="eastAsia" w:ascii="仿宋" w:hAnsi="仿宋" w:eastAsia="仿宋" w:cs="宋体"/>
                <w:bCs/>
                <w:kern w:val="0"/>
                <w:sz w:val="24"/>
                <w:szCs w:val="24"/>
              </w:rPr>
              <w:t>我</w:t>
            </w:r>
            <w:r>
              <w:rPr>
                <w:rFonts w:ascii="仿宋" w:hAnsi="仿宋" w:eastAsia="仿宋" w:cs="宋体"/>
                <w:bCs/>
                <w:kern w:val="0"/>
                <w:sz w:val="24"/>
                <w:szCs w:val="24"/>
              </w:rPr>
              <w:t>公司承诺</w:t>
            </w:r>
            <w:r>
              <w:rPr>
                <w:rFonts w:hint="eastAsia" w:ascii="仿宋" w:hAnsi="仿宋" w:eastAsia="仿宋" w:cs="宋体"/>
                <w:bCs/>
                <w:kern w:val="0"/>
                <w:sz w:val="24"/>
                <w:szCs w:val="24"/>
                <w:lang w:val="en-US" w:eastAsia="zh-CN"/>
              </w:rPr>
              <w:t>在医院开展的合作项目符合国家市场监督管理条例。</w:t>
            </w:r>
            <w:r>
              <w:rPr>
                <w:rFonts w:hint="eastAsia" w:ascii="仿宋" w:hAnsi="仿宋" w:eastAsia="仿宋" w:cs="宋体"/>
                <w:bCs/>
                <w:kern w:val="0"/>
                <w:sz w:val="24"/>
                <w:szCs w:val="24"/>
              </w:rPr>
              <w:t>在标本转运环节发生标本丢失、损毁，</w:t>
            </w:r>
            <w:r>
              <w:rPr>
                <w:rFonts w:hint="eastAsia" w:ascii="仿宋" w:hAnsi="仿宋" w:eastAsia="仿宋" w:cs="宋体"/>
                <w:bCs/>
                <w:kern w:val="0"/>
                <w:sz w:val="24"/>
                <w:szCs w:val="24"/>
                <w:lang w:val="en-US" w:eastAsia="zh-CN"/>
              </w:rPr>
              <w:t>本公司</w:t>
            </w:r>
            <w:r>
              <w:rPr>
                <w:rFonts w:hint="eastAsia" w:ascii="仿宋" w:hAnsi="仿宋" w:eastAsia="仿宋" w:cs="宋体"/>
                <w:bCs/>
                <w:kern w:val="0"/>
                <w:sz w:val="24"/>
                <w:szCs w:val="24"/>
              </w:rPr>
              <w:t>将承担因标本丢失损毁而引发的相关责任和经济损失，</w:t>
            </w:r>
            <w:r>
              <w:rPr>
                <w:rFonts w:hint="eastAsia" w:ascii="仿宋" w:hAnsi="仿宋" w:eastAsia="仿宋" w:cs="宋体"/>
                <w:bCs/>
                <w:kern w:val="0"/>
                <w:sz w:val="24"/>
                <w:szCs w:val="24"/>
                <w:lang w:val="en-US" w:eastAsia="zh-CN"/>
              </w:rPr>
              <w:t>并</w:t>
            </w:r>
            <w:r>
              <w:rPr>
                <w:rFonts w:hint="eastAsia" w:ascii="仿宋" w:hAnsi="仿宋" w:eastAsia="仿宋" w:cs="宋体"/>
                <w:bCs/>
                <w:kern w:val="0"/>
                <w:sz w:val="24"/>
                <w:szCs w:val="24"/>
              </w:rPr>
              <w:t>赔偿因此产生的所有损失</w:t>
            </w:r>
            <w:r>
              <w:rPr>
                <w:rFonts w:hint="eastAsia" w:ascii="仿宋" w:hAnsi="仿宋" w:eastAsia="仿宋" w:cs="宋体"/>
                <w:bCs/>
                <w:kern w:val="0"/>
                <w:sz w:val="24"/>
                <w:szCs w:val="24"/>
                <w:lang w:eastAsia="zh-CN"/>
              </w:rPr>
              <w:t>。</w:t>
            </w:r>
          </w:p>
        </w:tc>
      </w:tr>
      <w:tr w14:paraId="2E5CFA58">
        <w:tblPrEx>
          <w:tblCellMar>
            <w:top w:w="0" w:type="dxa"/>
            <w:left w:w="108" w:type="dxa"/>
            <w:bottom w:w="0" w:type="dxa"/>
            <w:right w:w="108" w:type="dxa"/>
          </w:tblCellMar>
        </w:tblPrEx>
        <w:trPr>
          <w:trHeight w:val="1009"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2E9A22C3">
            <w:pPr>
              <w:keepNext w:val="0"/>
              <w:keepLines w:val="0"/>
              <w:widowControl/>
              <w:suppressLineNumbers w:val="0"/>
              <w:spacing w:before="0" w:beforeAutospacing="0" w:after="0" w:afterAutospacing="0" w:line="360" w:lineRule="auto"/>
              <w:ind w:left="0" w:right="0"/>
              <w:jc w:val="center"/>
              <w:rPr>
                <w:rFonts w:hint="eastAsia"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下浮率</w:t>
            </w:r>
          </w:p>
        </w:tc>
        <w:tc>
          <w:tcPr>
            <w:tcW w:w="6184" w:type="dxa"/>
            <w:gridSpan w:val="3"/>
            <w:tcBorders>
              <w:top w:val="single" w:color="auto" w:sz="8" w:space="0"/>
              <w:left w:val="nil"/>
              <w:bottom w:val="single" w:color="auto" w:sz="8" w:space="0"/>
              <w:right w:val="single" w:color="auto" w:sz="8" w:space="0"/>
            </w:tcBorders>
            <w:noWrap w:val="0"/>
            <w:vAlign w:val="center"/>
          </w:tcPr>
          <w:p w14:paraId="79A28F45">
            <w:pPr>
              <w:keepNext w:val="0"/>
              <w:keepLines w:val="0"/>
              <w:widowControl/>
              <w:suppressLineNumbers w:val="0"/>
              <w:spacing w:before="0" w:beforeAutospacing="0" w:after="0" w:afterAutospacing="0" w:line="360" w:lineRule="auto"/>
              <w:ind w:left="0" w:right="0" w:firstLine="480" w:firstLineChars="200"/>
              <w:rPr>
                <w:rFonts w:hint="default" w:ascii="仿宋" w:hAnsi="仿宋" w:eastAsia="仿宋" w:cs="宋体"/>
                <w:bCs/>
                <w:kern w:val="0"/>
                <w:sz w:val="24"/>
                <w:szCs w:val="24"/>
                <w:lang w:val="en-US"/>
              </w:rPr>
            </w:pPr>
            <w:r>
              <w:rPr>
                <w:rFonts w:hint="eastAsia" w:ascii="仿宋" w:hAnsi="仿宋" w:eastAsia="仿宋" w:cs="Times New Roman"/>
                <w:sz w:val="24"/>
                <w:lang w:val="en-US" w:eastAsia="zh-CN"/>
              </w:rPr>
              <w:t>根据江苏省医疗服务项目收费标准下浮</w:t>
            </w:r>
            <w:r>
              <w:rPr>
                <w:rFonts w:hint="eastAsia" w:ascii="仿宋" w:hAnsi="仿宋" w:eastAsia="仿宋" w:cs="Times New Roman"/>
                <w:sz w:val="24"/>
                <w:u w:val="single"/>
                <w:lang w:val="en-US" w:eastAsia="zh-CN"/>
              </w:rPr>
              <w:t xml:space="preserve">      %</w:t>
            </w:r>
          </w:p>
        </w:tc>
      </w:tr>
      <w:tr w14:paraId="42710082">
        <w:tblPrEx>
          <w:tblCellMar>
            <w:top w:w="0" w:type="dxa"/>
            <w:left w:w="108" w:type="dxa"/>
            <w:bottom w:w="0" w:type="dxa"/>
            <w:right w:w="108" w:type="dxa"/>
          </w:tblCellMar>
        </w:tblPrEx>
        <w:trPr>
          <w:trHeight w:val="1227" w:hRule="atLeast"/>
        </w:trPr>
        <w:tc>
          <w:tcPr>
            <w:tcW w:w="2737" w:type="dxa"/>
            <w:tcBorders>
              <w:top w:val="single" w:color="000000" w:sz="8" w:space="0"/>
              <w:left w:val="single" w:color="000000" w:sz="8" w:space="0"/>
              <w:bottom w:val="single" w:color="000000" w:sz="8" w:space="0"/>
              <w:right w:val="single" w:color="auto" w:sz="8" w:space="0"/>
            </w:tcBorders>
            <w:noWrap/>
            <w:vAlign w:val="center"/>
          </w:tcPr>
          <w:p w14:paraId="3BB4A81D">
            <w:pPr>
              <w:keepNext w:val="0"/>
              <w:keepLines w:val="0"/>
              <w:widowControl/>
              <w:suppressLineNumbers w:val="0"/>
              <w:spacing w:before="0" w:beforeAutospacing="0" w:after="0" w:afterAutospacing="0" w:line="360" w:lineRule="auto"/>
              <w:ind w:left="0" w:right="0"/>
              <w:rPr>
                <w:rFonts w:ascii="仿宋" w:hAnsi="仿宋" w:eastAsia="仿宋" w:cs="宋体"/>
                <w:b/>
                <w:bCs/>
                <w:kern w:val="0"/>
                <w:sz w:val="24"/>
                <w:szCs w:val="24"/>
              </w:rPr>
            </w:pPr>
            <w:r>
              <w:rPr>
                <w:rFonts w:ascii="仿宋" w:hAnsi="仿宋" w:eastAsia="仿宋" w:cs="宋体"/>
                <w:b/>
                <w:bCs/>
                <w:kern w:val="0"/>
                <w:sz w:val="24"/>
                <w:szCs w:val="24"/>
              </w:rPr>
              <w:t xml:space="preserve">      </w:t>
            </w:r>
            <w:r>
              <w:rPr>
                <w:rFonts w:hint="eastAsia" w:ascii="仿宋" w:hAnsi="仿宋" w:eastAsia="仿宋" w:cs="宋体"/>
                <w:b/>
                <w:bCs/>
                <w:kern w:val="0"/>
                <w:sz w:val="24"/>
                <w:szCs w:val="24"/>
              </w:rPr>
              <w:t>优惠</w:t>
            </w:r>
            <w:r>
              <w:rPr>
                <w:rFonts w:ascii="仿宋" w:hAnsi="仿宋" w:eastAsia="仿宋" w:cs="宋体"/>
                <w:b/>
                <w:bCs/>
                <w:kern w:val="0"/>
                <w:sz w:val="24"/>
                <w:szCs w:val="24"/>
              </w:rPr>
              <w:t>条件</w:t>
            </w:r>
          </w:p>
        </w:tc>
        <w:tc>
          <w:tcPr>
            <w:tcW w:w="6184" w:type="dxa"/>
            <w:gridSpan w:val="3"/>
            <w:tcBorders>
              <w:top w:val="single" w:color="auto" w:sz="8" w:space="0"/>
              <w:left w:val="nil"/>
              <w:bottom w:val="single" w:color="auto" w:sz="8" w:space="0"/>
              <w:right w:val="single" w:color="auto" w:sz="8" w:space="0"/>
            </w:tcBorders>
            <w:noWrap w:val="0"/>
            <w:vAlign w:val="center"/>
          </w:tcPr>
          <w:p w14:paraId="647A0E02">
            <w:pPr>
              <w:keepNext w:val="0"/>
              <w:keepLines w:val="0"/>
              <w:widowControl/>
              <w:suppressLineNumbers w:val="0"/>
              <w:spacing w:before="0" w:beforeAutospacing="0" w:after="0" w:afterAutospacing="0" w:line="360" w:lineRule="auto"/>
              <w:ind w:left="0" w:right="0"/>
              <w:rPr>
                <w:rFonts w:ascii="仿宋" w:hAnsi="仿宋" w:eastAsia="仿宋" w:cs="宋体"/>
                <w:bCs/>
                <w:kern w:val="0"/>
                <w:sz w:val="24"/>
                <w:szCs w:val="24"/>
              </w:rPr>
            </w:pPr>
          </w:p>
        </w:tc>
      </w:tr>
    </w:tbl>
    <w:p w14:paraId="3487BAD3">
      <w:pPr>
        <w:rPr>
          <w:rFonts w:hint="default" w:eastAsia="宋体"/>
          <w:lang w:val="en-US" w:eastAsia="zh-CN"/>
        </w:rPr>
      </w:pPr>
      <w:r>
        <w:rPr>
          <w:rFonts w:hint="eastAsia"/>
          <w:lang w:val="en-US" w:eastAsia="zh-CN"/>
        </w:rPr>
        <w:t>注：本项目为统一下浮率计算，每品类检测项目不接受</w:t>
      </w:r>
      <w:bookmarkStart w:id="8" w:name="_GoBack"/>
      <w:bookmarkEnd w:id="8"/>
      <w:r>
        <w:rPr>
          <w:rFonts w:hint="eastAsia"/>
          <w:lang w:val="en-US" w:eastAsia="zh-CN"/>
        </w:rPr>
        <w:t>单独调价。</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F8F3">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4180">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D6086"/>
    <w:multiLevelType w:val="singleLevel"/>
    <w:tmpl w:val="C17D6086"/>
    <w:lvl w:ilvl="0" w:tentative="0">
      <w:start w:val="1"/>
      <w:numFmt w:val="decimal"/>
      <w:lvlText w:val="%1."/>
      <w:lvlJc w:val="left"/>
      <w:pPr>
        <w:tabs>
          <w:tab w:val="left" w:pos="312"/>
        </w:tabs>
      </w:pPr>
    </w:lvl>
  </w:abstractNum>
  <w:abstractNum w:abstractNumId="1">
    <w:nsid w:val="3E91523C"/>
    <w:multiLevelType w:val="singleLevel"/>
    <w:tmpl w:val="3E91523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50DAE"/>
    <w:rsid w:val="0955265E"/>
    <w:rsid w:val="5A8B4402"/>
    <w:rsid w:val="61B417BD"/>
    <w:rsid w:val="79D5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exact"/>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3493</Words>
  <Characters>3597</Characters>
  <Lines>0</Lines>
  <Paragraphs>0</Paragraphs>
  <TotalTime>3</TotalTime>
  <ScaleCrop>false</ScaleCrop>
  <LinksUpToDate>false</LinksUpToDate>
  <CharactersWithSpaces>3621</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2025-08-13T05:59:00Z</dcterms:created>
  <dc:creator>威武老包子</dc:creator>
  <cp:lastModifiedBy>森</cp:lastModifiedBy>
  <dcterms:modified xsi:type="dcterms:W3CDTF">2025-09-09T05:36:04Z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9841A637ED79453D89EB8821C445AFF7_13</vt:lpwstr>
  </property>
  <property fmtid="{D5CDD505-2E9C-101B-9397-08002B2CF9AE}" pid="4" name="KSOTemplateDocerSaveRecord">
    <vt:lpwstr>eyJoZGlkIjoiNjg4MzE5YjJkM2YzNjg3OWE2OWU2ZTc5ZjU5NDk3OGIiLCJ1c2VySWQiOiI0NTIyMzY0ODQifQ==</vt:lpwstr>
  </property>
</Properties>
</file>