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7C3FA">
      <w:pPr>
        <w:pStyle w:val="3"/>
        <w:numPr>
          <w:ilvl w:val="0"/>
          <w:numId w:val="0"/>
        </w:numPr>
        <w:spacing w:line="360" w:lineRule="auto"/>
        <w:jc w:val="center"/>
        <w:rPr>
          <w:rFonts w:hint="eastAsia" w:ascii="宋体" w:hAnsi="宋体" w:eastAsia="宋体" w:cs="宋体"/>
          <w:b/>
          <w:sz w:val="30"/>
          <w:szCs w:val="30"/>
        </w:rPr>
      </w:pPr>
      <w:ins w:id="8" w:author="威武老包子" w:date="2026-03-12T08:56:17Z">
        <w:bookmarkStart w:id="0" w:name="_Toc27517"/>
        <w:r>
          <w:rPr>
            <w:rFonts w:hint="eastAsia" w:ascii="宋体" w:hAnsi="宋体" w:cs="宋体"/>
            <w:b/>
            <w:sz w:val="30"/>
            <w:szCs w:val="30"/>
            <w:lang w:val="en-US" w:eastAsia="zh-CN"/>
          </w:rPr>
          <w:t>第一</w:t>
        </w:r>
      </w:ins>
      <w:ins w:id="9" w:author="威武老包子" w:date="2026-03-12T08:56:19Z">
        <w:r>
          <w:rPr>
            <w:rFonts w:hint="eastAsia" w:ascii="宋体" w:hAnsi="宋体" w:cs="宋体"/>
            <w:b/>
            <w:sz w:val="30"/>
            <w:szCs w:val="30"/>
            <w:lang w:val="en-US" w:eastAsia="zh-CN"/>
          </w:rPr>
          <w:t>部分</w:t>
        </w:r>
      </w:ins>
      <w:r>
        <w:rPr>
          <w:rFonts w:hint="eastAsia" w:ascii="宋体" w:hAnsi="宋体" w:cs="宋体"/>
          <w:b/>
          <w:sz w:val="30"/>
          <w:szCs w:val="30"/>
          <w:lang w:val="en-US" w:eastAsia="zh-CN"/>
        </w:rPr>
        <w:t>项目</w:t>
      </w:r>
      <w:r>
        <w:rPr>
          <w:rFonts w:hint="eastAsia" w:ascii="宋体" w:hAnsi="宋体" w:eastAsia="宋体" w:cs="宋体"/>
          <w:b/>
          <w:sz w:val="30"/>
          <w:szCs w:val="30"/>
        </w:rPr>
        <w:t>需求</w:t>
      </w:r>
      <w:bookmarkEnd w:id="0"/>
    </w:p>
    <w:p w14:paraId="4990A1D5">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562" w:firstLineChars="200"/>
        <w:textAlignment w:val="auto"/>
        <w:rPr>
          <w:rFonts w:hint="eastAsia" w:ascii="宋体" w:hAnsi="宋体" w:eastAsia="宋体" w:cs="宋体"/>
          <w:b/>
          <w:bCs/>
          <w:color w:val="000000"/>
          <w:kern w:val="44"/>
          <w:sz w:val="28"/>
          <w:szCs w:val="28"/>
          <w:lang w:val="en-US" w:eastAsia="zh-CN" w:bidi="ar-SA"/>
        </w:rPr>
      </w:pPr>
      <w:r>
        <w:rPr>
          <w:rFonts w:hint="eastAsia" w:ascii="宋体" w:hAnsi="宋体" w:eastAsia="宋体" w:cs="宋体"/>
          <w:b/>
          <w:bCs/>
          <w:color w:val="000000"/>
          <w:kern w:val="44"/>
          <w:sz w:val="28"/>
          <w:szCs w:val="28"/>
          <w:lang w:val="en-US" w:eastAsia="zh-CN" w:bidi="ar-SA"/>
        </w:rPr>
        <w:t>一、采购内容：</w:t>
      </w:r>
    </w:p>
    <w:p w14:paraId="5C636EF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FF0000"/>
          <w:kern w:val="0"/>
          <w:sz w:val="24"/>
          <w:lang w:val="en-US" w:eastAsia="zh-CN"/>
        </w:rPr>
      </w:pPr>
      <w:r>
        <w:rPr>
          <w:rFonts w:hint="eastAsia" w:ascii="宋体" w:hAnsi="宋体" w:eastAsia="宋体" w:cs="宋体"/>
          <w:b w:val="0"/>
          <w:bCs w:val="0"/>
          <w:color w:val="FF0000"/>
          <w:sz w:val="24"/>
          <w:szCs w:val="24"/>
          <w:lang w:val="en-US" w:eastAsia="zh-CN"/>
        </w:rPr>
        <w:t>本项目预算金额：无，最高限价为综合折扣率报价不得超过100%。</w:t>
      </w:r>
    </w:p>
    <w:p w14:paraId="040628FE">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FF0000"/>
          <w:sz w:val="24"/>
          <w:lang w:val="en-US" w:eastAsia="zh-CN"/>
        </w:rPr>
      </w:pPr>
      <w:r>
        <w:rPr>
          <w:rFonts w:hint="eastAsia" w:ascii="宋体" w:hAnsi="宋体" w:eastAsia="宋体" w:cs="宋体"/>
          <w:color w:val="FF0000"/>
          <w:kern w:val="0"/>
          <w:sz w:val="24"/>
          <w:lang w:val="en-US" w:eastAsia="zh-CN"/>
        </w:rPr>
        <w:t>项目名称：</w:t>
      </w:r>
      <w:bookmarkStart w:id="4" w:name="_GoBack"/>
      <w:r>
        <w:rPr>
          <w:rFonts w:hint="eastAsia" w:ascii="宋体" w:hAnsi="宋体" w:eastAsia="宋体" w:cs="宋体"/>
          <w:color w:val="FF0000"/>
          <w:kern w:val="0"/>
          <w:sz w:val="24"/>
          <w:lang w:val="en-US" w:eastAsia="zh-CN"/>
        </w:rPr>
        <w:t>南通市第二人民医院肠内营养剂及相关服务供应商遴选</w:t>
      </w:r>
      <w:bookmarkEnd w:id="4"/>
      <w:r>
        <w:rPr>
          <w:rFonts w:hint="eastAsia" w:ascii="宋体" w:hAnsi="宋体" w:eastAsia="宋体" w:cs="宋体"/>
          <w:bCs/>
          <w:color w:val="FF0000"/>
          <w:sz w:val="24"/>
          <w:lang w:val="en-US" w:eastAsia="zh-CN"/>
        </w:rPr>
        <w:t>。</w:t>
      </w:r>
    </w:p>
    <w:p w14:paraId="2B25F33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Cs/>
          <w:color w:val="FF0000"/>
          <w:sz w:val="24"/>
          <w:lang w:val="en-US" w:eastAsia="zh-CN"/>
        </w:rPr>
        <w:t>服务地点：</w:t>
      </w:r>
      <w:r>
        <w:rPr>
          <w:rFonts w:hint="eastAsia" w:ascii="宋体" w:hAnsi="宋体" w:eastAsia="宋体" w:cs="宋体"/>
          <w:b w:val="0"/>
          <w:sz w:val="24"/>
          <w:szCs w:val="24"/>
        </w:rPr>
        <w:t>采购方指定地点</w:t>
      </w:r>
    </w:p>
    <w:p w14:paraId="17365019">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kern w:val="2"/>
          <w:sz w:val="24"/>
          <w:szCs w:val="24"/>
        </w:rPr>
      </w:pPr>
      <w:r>
        <w:rPr>
          <w:rFonts w:hint="eastAsia" w:ascii="宋体" w:hAnsi="宋体" w:eastAsia="宋体" w:cs="宋体"/>
          <w:b w:val="0"/>
          <w:sz w:val="24"/>
          <w:szCs w:val="24"/>
          <w:lang w:eastAsia="zh-CN"/>
        </w:rPr>
        <w:t>服务期限：</w:t>
      </w:r>
      <w:r>
        <w:rPr>
          <w:rFonts w:hint="eastAsia" w:ascii="宋体" w:hAnsi="宋体" w:eastAsia="宋体" w:cs="宋体"/>
          <w:b w:val="0"/>
          <w:bCs w:val="0"/>
          <w:kern w:val="2"/>
          <w:sz w:val="24"/>
          <w:szCs w:val="24"/>
        </w:rPr>
        <w:t>本项目招标服务期限为</w:t>
      </w:r>
      <w:ins w:id="10" w:author="威武老包子" w:date="2026-03-12T07:46:17Z">
        <w:r>
          <w:rPr>
            <w:rFonts w:hint="eastAsia" w:ascii="宋体" w:hAnsi="宋体" w:cs="宋体"/>
            <w:b w:val="0"/>
            <w:bCs w:val="0"/>
            <w:kern w:val="2"/>
            <w:sz w:val="24"/>
            <w:szCs w:val="24"/>
            <w:lang w:val="en-US" w:eastAsia="zh-CN"/>
          </w:rPr>
          <w:t>三</w:t>
        </w:r>
      </w:ins>
      <w:r>
        <w:rPr>
          <w:rFonts w:hint="eastAsia" w:ascii="宋体" w:hAnsi="宋体" w:eastAsia="宋体" w:cs="宋体"/>
          <w:b w:val="0"/>
          <w:bCs w:val="0"/>
          <w:kern w:val="2"/>
          <w:sz w:val="24"/>
          <w:szCs w:val="24"/>
        </w:rPr>
        <w:t>年。</w:t>
      </w:r>
    </w:p>
    <w:p w14:paraId="19DE3D74">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二、背景</w:t>
      </w:r>
    </w:p>
    <w:p w14:paraId="316DE1F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根据国务院办公厅印发的关于《国民营养计划（2017-2030年）通知》（国办发〔2017〕60号文）、2022年3月18日国家卫生健康委办公厅印发的</w:t>
      </w:r>
      <w:r>
        <w:rPr>
          <w:rFonts w:hint="eastAsia" w:ascii="宋体" w:hAnsi="宋体" w:eastAsia="宋体" w:cs="宋体"/>
          <w:color w:val="auto"/>
          <w:sz w:val="24"/>
          <w:szCs w:val="24"/>
        </w:rPr>
        <w:t>《临床营养科建设与管理指南（试行）》（国卫办医函〔2022〕76号文）要求，结合国家卫健委《三级医院评审标准（2022 年版）实施细则》、</w:t>
      </w:r>
      <w:r>
        <w:rPr>
          <w:rFonts w:hint="eastAsia" w:ascii="宋体" w:hAnsi="宋体" w:eastAsia="宋体" w:cs="宋体"/>
          <w:color w:val="FF0000"/>
          <w:sz w:val="24"/>
          <w:szCs w:val="24"/>
        </w:rPr>
        <w:t>《三级医院评审标准（2022版）江苏省实施细则（试行）》</w:t>
      </w:r>
      <w:r>
        <w:rPr>
          <w:rFonts w:hint="eastAsia" w:ascii="宋体" w:hAnsi="宋体" w:eastAsia="宋体" w:cs="宋体"/>
          <w:color w:val="auto"/>
          <w:sz w:val="24"/>
          <w:szCs w:val="24"/>
        </w:rPr>
        <w:t>，</w:t>
      </w:r>
      <w:r>
        <w:rPr>
          <w:rFonts w:hint="eastAsia" w:ascii="宋体" w:hAnsi="宋体" w:eastAsia="宋体" w:cs="宋体"/>
          <w:color w:val="FF0000"/>
          <w:sz w:val="24"/>
          <w:szCs w:val="24"/>
        </w:rPr>
        <w:t>《江苏省三级综合公立医院评审标准实施细则（2023版）》</w:t>
      </w:r>
      <w:r>
        <w:rPr>
          <w:rFonts w:hint="eastAsia" w:ascii="宋体" w:hAnsi="宋体" w:eastAsia="宋体" w:cs="宋体"/>
          <w:color w:val="auto"/>
          <w:sz w:val="24"/>
          <w:szCs w:val="24"/>
        </w:rPr>
        <w:t>依据《中华人民共和国民法典》，为进一步</w:t>
      </w:r>
      <w:r>
        <w:rPr>
          <w:rFonts w:hint="eastAsia" w:ascii="宋体" w:hAnsi="宋体" w:eastAsia="宋体" w:cs="宋体"/>
          <w:sz w:val="24"/>
          <w:szCs w:val="24"/>
        </w:rPr>
        <w:t>完善采购人临床营养学科体系及内涵建设，遵循“以患者为中心”的服务宗旨，满足临床患者需求，提高医院服务能力，现对</w:t>
      </w:r>
      <w:r>
        <w:rPr>
          <w:rFonts w:hint="eastAsia" w:ascii="宋体" w:hAnsi="宋体" w:cs="宋体"/>
          <w:color w:val="FF0000"/>
          <w:sz w:val="24"/>
          <w:szCs w:val="24"/>
          <w:lang w:val="en-US" w:eastAsia="zh-CN"/>
        </w:rPr>
        <w:t>南通市第二人民</w:t>
      </w:r>
      <w:r>
        <w:rPr>
          <w:rFonts w:hint="eastAsia" w:ascii="宋体" w:hAnsi="宋体" w:eastAsia="宋体" w:cs="宋体"/>
          <w:color w:val="FF0000"/>
          <w:sz w:val="24"/>
          <w:szCs w:val="24"/>
        </w:rPr>
        <w:t>医院肠内营养剂及相关服务进行采购。</w:t>
      </w:r>
    </w:p>
    <w:p w14:paraId="22DC0B49">
      <w:pPr>
        <w:widowControl/>
        <w:spacing w:line="360" w:lineRule="auto"/>
        <w:ind w:firstLine="482" w:firstLineChars="200"/>
        <w:jc w:val="left"/>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三、合作共建需求</w:t>
      </w:r>
    </w:p>
    <w:p w14:paraId="7B56F04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作为项目服务方，在未来服务期内将依照国家卫健委有关政策要求及院领导对于医院营养诊疗体系标准化建设的要求，将提供完整的营养诊疗体系标准化建设服务方案，并在医院主导与大力支持下，负责推进全院各临床科室营养体系建设和能力提升，确保实现医院住院患者营养筛查率100%和有效干预率60%以上的国家营养学科建设要求。</w:t>
      </w:r>
    </w:p>
    <w:p w14:paraId="7E661C55">
      <w:pPr>
        <w:widowControl/>
        <w:numPr>
          <w:ilvl w:val="0"/>
          <w:numId w:val="2"/>
        </w:numPr>
        <w:spacing w:line="360" w:lineRule="auto"/>
        <w:jc w:val="left"/>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配合医院建设</w:t>
      </w:r>
      <w:bookmarkStart w:id="1" w:name="_Hlk131258137"/>
      <w:r>
        <w:rPr>
          <w:rFonts w:hint="eastAsia" w:ascii="宋体" w:hAnsi="宋体" w:eastAsia="宋体" w:cs="宋体"/>
          <w:b/>
          <w:bCs/>
          <w:kern w:val="0"/>
          <w:sz w:val="24"/>
          <w:szCs w:val="24"/>
          <w:lang w:bidi="ar"/>
        </w:rPr>
        <w:t>肠内营养</w:t>
      </w:r>
      <w:r>
        <w:rPr>
          <w:rFonts w:hint="eastAsia" w:ascii="宋体" w:hAnsi="宋体" w:eastAsia="宋体" w:cs="宋体"/>
          <w:b/>
          <w:bCs/>
          <w:kern w:val="0"/>
          <w:sz w:val="24"/>
          <w:szCs w:val="24"/>
          <w:lang w:eastAsia="zh-CN" w:bidi="ar"/>
        </w:rPr>
        <w:t>配置</w:t>
      </w:r>
      <w:r>
        <w:rPr>
          <w:rFonts w:hint="eastAsia" w:ascii="宋体" w:hAnsi="宋体" w:eastAsia="宋体" w:cs="宋体"/>
          <w:b/>
          <w:bCs/>
          <w:kern w:val="0"/>
          <w:sz w:val="24"/>
          <w:szCs w:val="24"/>
          <w:lang w:bidi="ar"/>
        </w:rPr>
        <w:t>室</w:t>
      </w:r>
      <w:bookmarkEnd w:id="1"/>
    </w:p>
    <w:p w14:paraId="27656B79">
      <w:pPr>
        <w:widowControl/>
        <w:spacing w:line="360" w:lineRule="auto"/>
        <w:ind w:firstLine="480" w:firstLineChars="200"/>
        <w:jc w:val="left"/>
        <w:rPr>
          <w:rFonts w:hint="eastAsia" w:ascii="宋体" w:hAnsi="宋体" w:eastAsia="宋体" w:cs="宋体"/>
          <w:kern w:val="0"/>
          <w:sz w:val="24"/>
          <w:szCs w:val="24"/>
          <w:lang w:bidi="ar"/>
        </w:rPr>
      </w:pPr>
      <w:r>
        <w:rPr>
          <w:rFonts w:hint="eastAsia" w:ascii="宋体" w:hAnsi="宋体" w:cs="宋体"/>
          <w:kern w:val="0"/>
          <w:sz w:val="24"/>
          <w:lang w:bidi="ar"/>
        </w:rPr>
        <w:t>采购方提供临床营养科</w:t>
      </w:r>
      <w:r>
        <w:rPr>
          <w:rFonts w:hint="eastAsia" w:ascii="宋体" w:hAnsi="宋体" w:eastAsia="宋体" w:cs="宋体"/>
          <w:kern w:val="0"/>
          <w:sz w:val="24"/>
          <w:lang w:bidi="ar"/>
        </w:rPr>
        <w:t>建设场地，要求供应商配合采购方装修、建设符合国家标准的肠内营养</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室并提供日常经营设备（费用由中标供应商承担），</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室设备详见附件1。合作期内，</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室设备所有权和设备维修维护及产品升级服务由供应商负责。</w:t>
      </w:r>
    </w:p>
    <w:p w14:paraId="0E3AD110">
      <w:pPr>
        <w:widowControl/>
        <w:numPr>
          <w:ilvl w:val="0"/>
          <w:numId w:val="2"/>
        </w:numPr>
        <w:spacing w:line="360" w:lineRule="auto"/>
        <w:jc w:val="left"/>
        <w:rPr>
          <w:rFonts w:hint="eastAsia" w:ascii="宋体" w:hAnsi="宋体" w:eastAsia="宋体" w:cs="宋体"/>
          <w:kern w:val="0"/>
          <w:sz w:val="22"/>
          <w:lang w:bidi="ar"/>
        </w:rPr>
      </w:pPr>
      <w:r>
        <w:rPr>
          <w:rFonts w:hint="eastAsia" w:ascii="宋体" w:hAnsi="宋体" w:eastAsia="宋体" w:cs="宋体"/>
          <w:b/>
          <w:bCs/>
          <w:kern w:val="0"/>
          <w:sz w:val="24"/>
          <w:szCs w:val="24"/>
          <w:lang w:bidi="ar"/>
        </w:rPr>
        <w:t>软件系统</w:t>
      </w:r>
    </w:p>
    <w:p w14:paraId="60FC65DC">
      <w:pPr>
        <w:widowControl/>
        <w:spacing w:line="360" w:lineRule="auto"/>
        <w:ind w:firstLine="480" w:firstLineChars="200"/>
        <w:jc w:val="left"/>
        <w:rPr>
          <w:rFonts w:hint="eastAsia" w:ascii="宋体" w:hAnsi="宋体" w:eastAsia="宋体" w:cs="宋体"/>
          <w:kern w:val="0"/>
          <w:sz w:val="24"/>
          <w:szCs w:val="24"/>
          <w:lang w:bidi="ar"/>
        </w:rPr>
      </w:pPr>
      <w:bookmarkStart w:id="2" w:name="_Hlk131258055"/>
      <w:r>
        <w:rPr>
          <w:rFonts w:hint="eastAsia" w:ascii="宋体" w:hAnsi="宋体" w:eastAsia="宋体" w:cs="宋体"/>
          <w:kern w:val="0"/>
          <w:sz w:val="24"/>
          <w:szCs w:val="24"/>
          <w:lang w:bidi="ar"/>
        </w:rPr>
        <w:t>为进一步规范采购方临床营养诊疗工作、加强临床营养专业组与临床各科室开展肠内营养处方工作沟通和医院临床营养学科质控数据收集与管理。要求中标供应商提供数字化营养软件系统，与我院HIS系统对接（软件费用、对接费用（若有）由中标供应商承担），并符合国家对智慧医院相关要求，软件参数详见附件2。合作期内，软件系统和软件维护及系统升级服务由中标供应商负责。合作协议终止后，供应商所提供软件系统所有权自动划为医院所有，软件维护及系统升级服务由采购方负责。</w:t>
      </w:r>
    </w:p>
    <w:p w14:paraId="007A9A6F">
      <w:pPr>
        <w:widowControl/>
        <w:numPr>
          <w:ilvl w:val="0"/>
          <w:numId w:val="2"/>
        </w:numPr>
        <w:spacing w:line="360" w:lineRule="auto"/>
        <w:jc w:val="left"/>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肠内营养制剂</w:t>
      </w:r>
      <w:bookmarkEnd w:id="2"/>
      <w:r>
        <w:rPr>
          <w:rFonts w:hint="eastAsia" w:ascii="宋体" w:hAnsi="宋体" w:eastAsia="宋体" w:cs="宋体"/>
          <w:b/>
          <w:bCs/>
          <w:kern w:val="0"/>
          <w:sz w:val="24"/>
          <w:szCs w:val="24"/>
          <w:lang w:bidi="ar"/>
        </w:rPr>
        <w:t>目录</w:t>
      </w:r>
    </w:p>
    <w:p w14:paraId="1350627E">
      <w:pPr>
        <w:widowControl/>
        <w:spacing w:line="360" w:lineRule="auto"/>
        <w:ind w:firstLine="480" w:firstLineChars="200"/>
        <w:jc w:val="left"/>
        <w:rPr>
          <w:rFonts w:hint="eastAsia" w:ascii="宋体" w:hAnsi="宋体" w:eastAsia="宋体" w:cs="宋体"/>
          <w:color w:val="FF0000"/>
          <w:kern w:val="0"/>
          <w:sz w:val="24"/>
          <w:szCs w:val="24"/>
          <w:lang w:bidi="ar"/>
        </w:rPr>
      </w:pPr>
      <w:r>
        <w:rPr>
          <w:rFonts w:hint="eastAsia" w:ascii="宋体" w:hAnsi="宋体" w:eastAsia="宋体" w:cs="宋体"/>
          <w:color w:val="FF0000"/>
          <w:kern w:val="0"/>
          <w:sz w:val="24"/>
          <w:szCs w:val="24"/>
          <w:lang w:bidi="ar"/>
        </w:rPr>
        <w:t>为满足临床患者营养治疗需求，合作期内肠内营养制剂供应目录可参考附件3，但不限于目录所涉及的品种，可根据临床营养干预需要向采购方报备采购目录外品种。需提供产品清单，注明营养成分并根据附件3的分类目录注明分类。肠内营养制剂的生产厂家资质</w:t>
      </w:r>
      <w:r>
        <w:rPr>
          <w:rFonts w:hint="eastAsia" w:ascii="宋体" w:hAnsi="宋体" w:eastAsia="宋体" w:cs="宋体"/>
          <w:color w:val="FF0000"/>
          <w:kern w:val="0"/>
          <w:sz w:val="24"/>
          <w:szCs w:val="24"/>
          <w:lang w:eastAsia="zh-CN" w:bidi="ar"/>
        </w:rPr>
        <w:t>，供应商履约时</w:t>
      </w:r>
      <w:r>
        <w:rPr>
          <w:rFonts w:hint="eastAsia" w:ascii="宋体" w:hAnsi="宋体" w:eastAsia="宋体" w:cs="宋体"/>
          <w:color w:val="FF0000"/>
          <w:kern w:val="0"/>
          <w:sz w:val="24"/>
          <w:szCs w:val="24"/>
          <w:lang w:bidi="ar"/>
        </w:rPr>
        <w:t>要提交采购方备案。</w:t>
      </w:r>
    </w:p>
    <w:p w14:paraId="392F3EAE">
      <w:pPr>
        <w:widowControl/>
        <w:numPr>
          <w:ilvl w:val="0"/>
          <w:numId w:val="2"/>
        </w:numPr>
        <w:spacing w:line="360" w:lineRule="auto"/>
        <w:jc w:val="left"/>
        <w:rPr>
          <w:rFonts w:hint="eastAsia" w:ascii="宋体" w:hAnsi="宋体" w:eastAsia="宋体" w:cs="宋体"/>
          <w:b/>
          <w:bCs/>
          <w:color w:val="auto"/>
          <w:kern w:val="0"/>
          <w:sz w:val="24"/>
          <w:szCs w:val="24"/>
          <w:lang w:bidi="ar"/>
        </w:rPr>
      </w:pPr>
      <w:r>
        <w:rPr>
          <w:rFonts w:hint="eastAsia" w:ascii="宋体" w:hAnsi="宋体" w:eastAsia="宋体" w:cs="宋体"/>
          <w:b/>
          <w:bCs/>
          <w:kern w:val="0"/>
          <w:sz w:val="24"/>
          <w:szCs w:val="24"/>
          <w:lang w:bidi="ar"/>
        </w:rPr>
        <w:t>专业人才与服务支持</w:t>
      </w:r>
    </w:p>
    <w:p w14:paraId="6CD1AA09">
      <w:pPr>
        <w:widowControl/>
        <w:spacing w:line="360" w:lineRule="auto"/>
        <w:ind w:firstLine="480" w:firstLineChars="200"/>
        <w:jc w:val="left"/>
        <w:rPr>
          <w:rFonts w:hint="eastAsia" w:ascii="宋体" w:hAnsi="宋体" w:cs="宋体"/>
          <w:sz w:val="24"/>
        </w:rPr>
      </w:pPr>
      <w:r>
        <w:rPr>
          <w:rFonts w:hint="eastAsia" w:ascii="宋体" w:hAnsi="宋体" w:cs="宋体"/>
          <w:sz w:val="24"/>
        </w:rPr>
        <w:t>人员派驻：</w:t>
      </w:r>
      <w:r>
        <w:rPr>
          <w:rFonts w:hint="eastAsia" w:ascii="宋体" w:hAnsi="宋体" w:cs="宋体"/>
          <w:kern w:val="0"/>
          <w:sz w:val="24"/>
          <w:lang w:bidi="ar"/>
        </w:rPr>
        <w:t>中标供应商需安排具备相关资质的营养</w:t>
      </w:r>
      <w:r>
        <w:rPr>
          <w:rFonts w:hint="eastAsia" w:ascii="宋体" w:hAnsi="宋体" w:cs="宋体"/>
          <w:kern w:val="0"/>
          <w:sz w:val="24"/>
          <w:lang w:eastAsia="zh-CN" w:bidi="ar"/>
        </w:rPr>
        <w:t>师、配制员</w:t>
      </w:r>
      <w:r>
        <w:rPr>
          <w:rFonts w:hint="eastAsia" w:ascii="宋体" w:hAnsi="宋体" w:cs="宋体"/>
          <w:kern w:val="0"/>
          <w:sz w:val="24"/>
          <w:lang w:bidi="ar"/>
        </w:rPr>
        <w:t>和工作人员</w:t>
      </w:r>
      <w:r>
        <w:rPr>
          <w:rFonts w:hint="eastAsia" w:ascii="宋体" w:hAnsi="宋体" w:cs="宋体"/>
          <w:kern w:val="0"/>
          <w:sz w:val="24"/>
          <w:lang w:val="en-US" w:eastAsia="zh-CN" w:bidi="ar"/>
        </w:rPr>
        <w:t>不少于2人，</w:t>
      </w:r>
      <w:r>
        <w:rPr>
          <w:rFonts w:hint="eastAsia" w:ascii="宋体" w:hAnsi="宋体" w:cs="宋体"/>
          <w:sz w:val="24"/>
        </w:rPr>
        <w:t>在院方营养科主任的领导下和中标供应商的配合协作下</w:t>
      </w:r>
      <w:r>
        <w:rPr>
          <w:rFonts w:hint="eastAsia" w:ascii="宋体" w:hAnsi="宋体" w:cs="宋体"/>
          <w:kern w:val="0"/>
          <w:sz w:val="24"/>
          <w:lang w:bidi="ar"/>
        </w:rPr>
        <w:t>驻院开展工作</w:t>
      </w:r>
      <w:r>
        <w:rPr>
          <w:rFonts w:hint="eastAsia" w:ascii="宋体" w:hAnsi="宋体" w:cs="宋体"/>
          <w:kern w:val="0"/>
          <w:sz w:val="24"/>
          <w:lang w:eastAsia="zh-CN" w:bidi="ar"/>
        </w:rPr>
        <w:t>，</w:t>
      </w:r>
      <w:r>
        <w:rPr>
          <w:rFonts w:hint="eastAsia" w:ascii="宋体" w:hAnsi="宋体" w:cs="宋体"/>
          <w:sz w:val="24"/>
          <w:lang w:val="en-US" w:eastAsia="zh-CN"/>
        </w:rPr>
        <w:t>派驻人员</w:t>
      </w:r>
      <w:r>
        <w:rPr>
          <w:rFonts w:hint="eastAsia" w:ascii="宋体" w:hAnsi="宋体" w:cs="宋体"/>
          <w:sz w:val="24"/>
        </w:rPr>
        <w:t>的工资、福利等所有费用</w:t>
      </w:r>
      <w:r>
        <w:rPr>
          <w:rFonts w:hint="eastAsia" w:ascii="宋体" w:hAnsi="宋体" w:cs="宋体"/>
          <w:sz w:val="24"/>
          <w:lang w:val="en-US" w:eastAsia="zh-CN"/>
        </w:rPr>
        <w:t>由中标供应商承担</w:t>
      </w:r>
      <w:r>
        <w:rPr>
          <w:rFonts w:hint="eastAsia" w:ascii="宋体" w:hAnsi="宋体" w:cs="宋体"/>
          <w:sz w:val="24"/>
        </w:rPr>
        <w:t>。</w:t>
      </w:r>
    </w:p>
    <w:p w14:paraId="6292B6E6">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专业培训：对我院临床医生、护士进行营养知识培训，提升全院营养意识；对患者开展营养教育。</w:t>
      </w:r>
    </w:p>
    <w:tbl>
      <w:tblPr>
        <w:tblStyle w:val="11"/>
        <w:tblW w:w="916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622"/>
        <w:gridCol w:w="5108"/>
      </w:tblGrid>
      <w:tr w14:paraId="52F5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2F58E230">
            <w:pPr>
              <w:jc w:val="center"/>
              <w:rPr>
                <w:rFonts w:hint="eastAsia" w:ascii="宋体" w:hAnsi="宋体" w:eastAsia="宋体" w:cs="宋体"/>
                <w:b/>
                <w:bCs/>
                <w:sz w:val="24"/>
                <w:szCs w:val="24"/>
              </w:rPr>
            </w:pPr>
            <w:r>
              <w:rPr>
                <w:rFonts w:hint="eastAsia" w:ascii="宋体" w:hAnsi="宋体" w:eastAsia="宋体" w:cs="宋体"/>
                <w:b/>
                <w:bCs/>
                <w:sz w:val="24"/>
                <w:szCs w:val="24"/>
              </w:rPr>
              <w:t>岗位</w:t>
            </w:r>
          </w:p>
        </w:tc>
        <w:tc>
          <w:tcPr>
            <w:tcW w:w="2622" w:type="dxa"/>
            <w:noWrap w:val="0"/>
            <w:vAlign w:val="top"/>
          </w:tcPr>
          <w:p w14:paraId="4E2EBF40">
            <w:pPr>
              <w:jc w:val="center"/>
              <w:rPr>
                <w:rFonts w:hint="eastAsia" w:ascii="宋体" w:hAnsi="宋体" w:eastAsia="宋体" w:cs="宋体"/>
                <w:b/>
                <w:bCs/>
                <w:sz w:val="24"/>
                <w:szCs w:val="24"/>
              </w:rPr>
            </w:pPr>
            <w:r>
              <w:rPr>
                <w:rFonts w:hint="eastAsia" w:ascii="宋体" w:hAnsi="宋体" w:eastAsia="宋体" w:cs="宋体"/>
                <w:b/>
                <w:bCs/>
                <w:sz w:val="24"/>
                <w:szCs w:val="24"/>
              </w:rPr>
              <w:t>资质要求</w:t>
            </w:r>
          </w:p>
        </w:tc>
        <w:tc>
          <w:tcPr>
            <w:tcW w:w="5108" w:type="dxa"/>
            <w:noWrap w:val="0"/>
            <w:vAlign w:val="top"/>
          </w:tcPr>
          <w:p w14:paraId="45427240">
            <w:pPr>
              <w:jc w:val="center"/>
              <w:rPr>
                <w:rFonts w:hint="eastAsia" w:ascii="宋体" w:hAnsi="宋体" w:eastAsia="宋体" w:cs="宋体"/>
                <w:b/>
                <w:bCs/>
                <w:sz w:val="24"/>
                <w:szCs w:val="24"/>
              </w:rPr>
            </w:pPr>
            <w:r>
              <w:rPr>
                <w:rFonts w:hint="eastAsia" w:ascii="宋体" w:hAnsi="宋体" w:eastAsia="宋体" w:cs="宋体"/>
                <w:b/>
                <w:bCs/>
                <w:sz w:val="24"/>
                <w:szCs w:val="24"/>
              </w:rPr>
              <w:t>工作内容</w:t>
            </w:r>
          </w:p>
        </w:tc>
      </w:tr>
      <w:tr w14:paraId="64F3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14:paraId="5936B373">
            <w:pPr>
              <w:rPr>
                <w:rFonts w:hint="eastAsia" w:ascii="宋体" w:hAnsi="宋体" w:eastAsia="宋体" w:cs="宋体"/>
                <w:sz w:val="24"/>
                <w:szCs w:val="24"/>
              </w:rPr>
            </w:pPr>
            <w:r>
              <w:rPr>
                <w:rFonts w:hint="eastAsia" w:ascii="宋体" w:hAnsi="宋体" w:cs="宋体"/>
                <w:sz w:val="24"/>
              </w:rPr>
              <w:t>营养师</w:t>
            </w:r>
          </w:p>
        </w:tc>
        <w:tc>
          <w:tcPr>
            <w:tcW w:w="2622" w:type="dxa"/>
            <w:noWrap w:val="0"/>
            <w:vAlign w:val="center"/>
          </w:tcPr>
          <w:p w14:paraId="4EEA561E">
            <w:pPr>
              <w:rPr>
                <w:rFonts w:hint="eastAsia" w:ascii="宋体" w:hAnsi="宋体" w:eastAsia="宋体" w:cs="宋体"/>
                <w:sz w:val="24"/>
                <w:szCs w:val="24"/>
                <w:lang w:val="en-US" w:eastAsia="zh-CN"/>
              </w:rPr>
            </w:pPr>
            <w:r>
              <w:rPr>
                <w:rFonts w:hint="eastAsia" w:ascii="宋体" w:hAnsi="宋体" w:cs="宋体"/>
                <w:sz w:val="24"/>
              </w:rPr>
              <w:t>取得营养相关专业资格证书者（人员数量2名，并与肠内营养业务规模相适应，确保满足肠内营养工作正常开展）。</w:t>
            </w:r>
          </w:p>
        </w:tc>
        <w:tc>
          <w:tcPr>
            <w:tcW w:w="5108" w:type="dxa"/>
            <w:noWrap w:val="0"/>
            <w:vAlign w:val="center"/>
          </w:tcPr>
          <w:p w14:paraId="216FDAF1">
            <w:pPr>
              <w:rPr>
                <w:rFonts w:hint="eastAsia" w:ascii="宋体" w:hAnsi="宋体" w:cs="宋体"/>
                <w:sz w:val="24"/>
              </w:rPr>
            </w:pPr>
            <w:r>
              <w:rPr>
                <w:rFonts w:hint="eastAsia" w:ascii="宋体" w:hAnsi="宋体" w:cs="宋体"/>
                <w:sz w:val="24"/>
              </w:rPr>
              <w:t>入驻</w:t>
            </w:r>
          </w:p>
          <w:p w14:paraId="6541965D">
            <w:pPr>
              <w:rPr>
                <w:rFonts w:hint="eastAsia" w:ascii="宋体" w:hAnsi="宋体" w:eastAsia="宋体" w:cs="宋体"/>
                <w:sz w:val="24"/>
                <w:szCs w:val="24"/>
                <w:lang w:val="en-US" w:eastAsia="zh-CN"/>
              </w:rPr>
            </w:pPr>
            <w:r>
              <w:rPr>
                <w:rFonts w:hint="eastAsia" w:ascii="宋体" w:hAnsi="宋体" w:cs="宋体"/>
                <w:sz w:val="24"/>
              </w:rPr>
              <w:t>负责肠内营养配制室制剂调配和临床科室配送工作，配合医院临床营养其它任务工作。</w:t>
            </w:r>
          </w:p>
        </w:tc>
      </w:tr>
      <w:tr w14:paraId="0252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7D9D04E0">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rPr>
              <w:t>配制员</w:t>
            </w:r>
          </w:p>
        </w:tc>
        <w:tc>
          <w:tcPr>
            <w:tcW w:w="2622" w:type="dxa"/>
            <w:noWrap w:val="0"/>
            <w:vAlign w:val="top"/>
          </w:tcPr>
          <w:p w14:paraId="48B40416">
            <w:pPr>
              <w:rPr>
                <w:rFonts w:hint="eastAsia" w:ascii="宋体" w:hAnsi="宋体" w:eastAsia="宋体" w:cs="宋体"/>
                <w:sz w:val="24"/>
                <w:szCs w:val="24"/>
                <w:lang w:val="en-US" w:eastAsia="zh-CN"/>
              </w:rPr>
            </w:pPr>
            <w:r>
              <w:rPr>
                <w:rFonts w:hint="eastAsia" w:ascii="宋体" w:hAnsi="宋体" w:cs="宋体"/>
                <w:sz w:val="24"/>
              </w:rPr>
              <w:t>1名</w:t>
            </w:r>
          </w:p>
        </w:tc>
        <w:tc>
          <w:tcPr>
            <w:tcW w:w="5108" w:type="dxa"/>
            <w:noWrap w:val="0"/>
            <w:vAlign w:val="top"/>
          </w:tcPr>
          <w:p w14:paraId="1B71C6C2">
            <w:pPr>
              <w:rPr>
                <w:rFonts w:hint="eastAsia" w:ascii="宋体" w:hAnsi="宋体" w:cs="宋体"/>
                <w:sz w:val="24"/>
              </w:rPr>
            </w:pPr>
            <w:r>
              <w:rPr>
                <w:rFonts w:hint="eastAsia" w:ascii="宋体" w:hAnsi="宋体" w:cs="宋体"/>
                <w:sz w:val="24"/>
              </w:rPr>
              <w:t>入驻</w:t>
            </w:r>
          </w:p>
          <w:p w14:paraId="41B250C0">
            <w:pPr>
              <w:rPr>
                <w:rFonts w:hint="eastAsia" w:ascii="宋体" w:hAnsi="宋体" w:eastAsia="宋体" w:cs="宋体"/>
                <w:sz w:val="24"/>
                <w:szCs w:val="24"/>
                <w:lang w:val="en-US" w:eastAsia="zh-CN"/>
              </w:rPr>
            </w:pPr>
            <w:r>
              <w:rPr>
                <w:rFonts w:hint="eastAsia" w:ascii="宋体" w:hAnsi="宋体" w:cs="宋体"/>
                <w:sz w:val="24"/>
              </w:rPr>
              <w:t>负责肠内营养</w:t>
            </w:r>
            <w:r>
              <w:rPr>
                <w:rFonts w:hint="eastAsia" w:ascii="宋体" w:hAnsi="宋体" w:cs="宋体"/>
                <w:sz w:val="24"/>
                <w:lang w:eastAsia="zh-CN"/>
              </w:rPr>
              <w:t>配制</w:t>
            </w:r>
            <w:r>
              <w:rPr>
                <w:rFonts w:hint="eastAsia" w:ascii="宋体" w:hAnsi="宋体" w:cs="宋体"/>
                <w:sz w:val="24"/>
              </w:rPr>
              <w:t>、卫生等工作，并指导我院配制员员完成</w:t>
            </w:r>
            <w:r>
              <w:rPr>
                <w:rFonts w:hint="eastAsia" w:ascii="宋体" w:hAnsi="宋体" w:cs="宋体"/>
                <w:sz w:val="24"/>
                <w:lang w:eastAsia="zh-CN"/>
              </w:rPr>
              <w:t>配制</w:t>
            </w:r>
            <w:r>
              <w:rPr>
                <w:rFonts w:hint="eastAsia" w:ascii="宋体" w:hAnsi="宋体" w:cs="宋体"/>
                <w:sz w:val="24"/>
              </w:rPr>
              <w:t>工作。</w:t>
            </w:r>
          </w:p>
        </w:tc>
      </w:tr>
      <w:tr w14:paraId="7B62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2FF96FE2">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rPr>
              <w:t>项目经理</w:t>
            </w:r>
          </w:p>
        </w:tc>
        <w:tc>
          <w:tcPr>
            <w:tcW w:w="2622" w:type="dxa"/>
            <w:noWrap w:val="0"/>
            <w:vAlign w:val="top"/>
          </w:tcPr>
          <w:p w14:paraId="6BE92DE4">
            <w:pPr>
              <w:rPr>
                <w:rFonts w:hint="eastAsia" w:ascii="宋体" w:hAnsi="宋体" w:eastAsia="宋体" w:cs="宋体"/>
                <w:sz w:val="24"/>
                <w:szCs w:val="24"/>
                <w:lang w:val="en-US" w:eastAsia="zh-CN"/>
              </w:rPr>
            </w:pPr>
            <w:r>
              <w:rPr>
                <w:rFonts w:hint="eastAsia" w:ascii="宋体" w:hAnsi="宋体" w:cs="宋体"/>
                <w:sz w:val="24"/>
              </w:rPr>
              <w:t>1名</w:t>
            </w:r>
          </w:p>
        </w:tc>
        <w:tc>
          <w:tcPr>
            <w:tcW w:w="5108" w:type="dxa"/>
            <w:noWrap w:val="0"/>
            <w:vAlign w:val="top"/>
          </w:tcPr>
          <w:p w14:paraId="28161969">
            <w:pPr>
              <w:rPr>
                <w:rFonts w:hint="eastAsia" w:ascii="宋体" w:hAnsi="宋体" w:cs="宋体"/>
                <w:sz w:val="24"/>
              </w:rPr>
            </w:pPr>
            <w:r>
              <w:rPr>
                <w:rFonts w:hint="eastAsia" w:ascii="宋体" w:hAnsi="宋体" w:cs="宋体"/>
                <w:sz w:val="24"/>
              </w:rPr>
              <w:t>入驻</w:t>
            </w:r>
          </w:p>
          <w:p w14:paraId="6D57C305">
            <w:pPr>
              <w:rPr>
                <w:rFonts w:hint="eastAsia" w:ascii="宋体" w:hAnsi="宋体" w:eastAsia="宋体" w:cs="宋体"/>
                <w:sz w:val="24"/>
                <w:szCs w:val="24"/>
                <w:lang w:val="en-US" w:eastAsia="zh-CN"/>
              </w:rPr>
            </w:pPr>
            <w:r>
              <w:rPr>
                <w:rFonts w:hint="eastAsia" w:ascii="宋体" w:hAnsi="宋体" w:cs="宋体"/>
                <w:sz w:val="24"/>
              </w:rPr>
              <w:t>负责总体项目落地跟进和协调</w:t>
            </w:r>
          </w:p>
        </w:tc>
      </w:tr>
    </w:tbl>
    <w:p w14:paraId="78059DAC">
      <w:pPr>
        <w:widowControl/>
        <w:spacing w:line="360" w:lineRule="auto"/>
        <w:ind w:firstLine="480" w:firstLineChars="200"/>
        <w:jc w:val="left"/>
        <w:rPr>
          <w:rFonts w:hint="eastAsia" w:ascii="宋体" w:hAnsi="宋体" w:eastAsia="宋体" w:cs="宋体"/>
          <w:color w:val="FF0000"/>
          <w:kern w:val="0"/>
          <w:sz w:val="24"/>
          <w:szCs w:val="24"/>
          <w:lang w:bidi="ar"/>
        </w:rPr>
      </w:pPr>
    </w:p>
    <w:p w14:paraId="1689D683">
      <w:pPr>
        <w:keepNext w:val="0"/>
        <w:keepLines w:val="0"/>
        <w:pageBreakBefore w:val="0"/>
        <w:widowControl w:val="0"/>
        <w:numPr>
          <w:ilvl w:val="0"/>
          <w:numId w:val="0"/>
        </w:numPr>
        <w:kinsoku/>
        <w:wordWrap/>
        <w:overflowPunct/>
        <w:topLinePunct w:val="0"/>
        <w:autoSpaceDE/>
        <w:autoSpaceDN/>
        <w:bidi w:val="0"/>
        <w:spacing w:line="460" w:lineRule="exact"/>
        <w:ind w:firstLine="0" w:firstLineChars="0"/>
        <w:contextualSpacing/>
        <w:jc w:val="left"/>
        <w:textAlignment w:val="auto"/>
        <w:rPr>
          <w:ins w:id="11" w:author="威武老包子" w:date="2026-03-12T09:00:24Z"/>
          <w:rFonts w:hint="eastAsia" w:ascii="仿宋" w:hAnsi="仿宋" w:eastAsia="仿宋" w:cs="仿宋"/>
          <w:b/>
          <w:bCs w:val="0"/>
          <w:color w:val="auto"/>
          <w:sz w:val="28"/>
          <w:szCs w:val="28"/>
          <w:highlight w:val="none"/>
          <w:lang w:val="en-US" w:eastAsia="zh-CN"/>
        </w:rPr>
      </w:pPr>
      <w:ins w:id="12" w:author="威武老包子" w:date="2026-03-12T09:00:35Z">
        <w:r>
          <w:rPr>
            <w:rFonts w:hint="eastAsia" w:ascii="仿宋" w:hAnsi="仿宋" w:eastAsia="仿宋" w:cs="仿宋"/>
            <w:b/>
            <w:bCs w:val="0"/>
            <w:color w:val="auto"/>
            <w:sz w:val="28"/>
            <w:szCs w:val="28"/>
            <w:highlight w:val="none"/>
            <w:lang w:val="en-US" w:eastAsia="zh-CN"/>
          </w:rPr>
          <w:t>（</w:t>
        </w:r>
      </w:ins>
      <w:ins w:id="13" w:author="威武老包子" w:date="2026-03-12T09:00:38Z">
        <w:r>
          <w:rPr>
            <w:rFonts w:hint="eastAsia" w:ascii="仿宋" w:hAnsi="仿宋" w:eastAsia="仿宋" w:cs="仿宋"/>
            <w:b/>
            <w:bCs w:val="0"/>
            <w:color w:val="auto"/>
            <w:sz w:val="28"/>
            <w:szCs w:val="28"/>
            <w:highlight w:val="none"/>
            <w:lang w:val="en-US" w:eastAsia="zh-CN"/>
          </w:rPr>
          <w:t>五</w:t>
        </w:r>
      </w:ins>
      <w:ins w:id="14" w:author="威武老包子" w:date="2026-03-12T09:00:41Z">
        <w:r>
          <w:rPr>
            <w:rFonts w:hint="eastAsia" w:ascii="仿宋" w:hAnsi="仿宋" w:eastAsia="仿宋" w:cs="仿宋"/>
            <w:b/>
            <w:bCs w:val="0"/>
            <w:color w:val="auto"/>
            <w:sz w:val="28"/>
            <w:szCs w:val="28"/>
            <w:highlight w:val="none"/>
            <w:lang w:val="en-US" w:eastAsia="zh-CN"/>
          </w:rPr>
          <w:t>）</w:t>
        </w:r>
      </w:ins>
      <w:ins w:id="15" w:author="威武老包子" w:date="2026-03-12T09:00:24Z">
        <w:r>
          <w:rPr>
            <w:rFonts w:hint="eastAsia" w:ascii="仿宋" w:hAnsi="仿宋" w:eastAsia="仿宋" w:cs="仿宋"/>
            <w:b/>
            <w:bCs w:val="0"/>
            <w:color w:val="auto"/>
            <w:sz w:val="28"/>
            <w:szCs w:val="28"/>
            <w:highlight w:val="none"/>
            <w:lang w:val="en-US" w:eastAsia="zh-CN"/>
          </w:rPr>
          <w:t>付款方式</w:t>
        </w:r>
      </w:ins>
    </w:p>
    <w:p w14:paraId="71E4D075">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ins w:id="16" w:author="威武老包子" w:date="2026-03-12T09:00:24Z"/>
          <w:rFonts w:hint="eastAsia" w:ascii="仿宋" w:hAnsi="仿宋" w:eastAsia="仿宋" w:cs="仿宋"/>
          <w:color w:val="auto"/>
          <w:sz w:val="28"/>
          <w:szCs w:val="28"/>
          <w:highlight w:val="none"/>
        </w:rPr>
      </w:pPr>
      <w:ins w:id="17" w:author="威武老包子" w:date="2026-03-12T09:01:43Z">
        <w:r>
          <w:rPr>
            <w:rFonts w:hint="eastAsia" w:ascii="仿宋" w:hAnsi="仿宋" w:eastAsia="仿宋" w:cs="仿宋"/>
            <w:color w:val="auto"/>
            <w:sz w:val="28"/>
            <w:szCs w:val="28"/>
            <w:highlight w:val="none"/>
            <w:lang w:val="en-US" w:eastAsia="zh-CN"/>
          </w:rPr>
          <w:t>按</w:t>
        </w:r>
      </w:ins>
      <w:ins w:id="18" w:author="威武老包子" w:date="2026-03-12T09:00:24Z">
        <w:r>
          <w:rPr>
            <w:rFonts w:hint="eastAsia" w:ascii="仿宋" w:hAnsi="仿宋" w:eastAsia="仿宋" w:cs="仿宋"/>
            <w:color w:val="auto"/>
            <w:sz w:val="28"/>
            <w:szCs w:val="28"/>
            <w:highlight w:val="none"/>
          </w:rPr>
          <w:t>月结算</w:t>
        </w:r>
      </w:ins>
      <w:ins w:id="19" w:author="威武老包子" w:date="2026-03-12T09:00:24Z">
        <w:r>
          <w:rPr>
            <w:rFonts w:hint="eastAsia" w:ascii="仿宋" w:hAnsi="仿宋" w:eastAsia="仿宋" w:cs="仿宋"/>
            <w:color w:val="auto"/>
            <w:sz w:val="28"/>
            <w:szCs w:val="28"/>
            <w:highlight w:val="none"/>
            <w:lang w:eastAsia="zh-CN"/>
          </w:rPr>
          <w:t>，</w:t>
        </w:r>
      </w:ins>
      <w:ins w:id="20" w:author="威武老包子" w:date="2026-03-12T09:01:47Z">
        <w:r>
          <w:rPr>
            <w:rFonts w:hint="eastAsia" w:ascii="仿宋" w:hAnsi="仿宋" w:eastAsia="仿宋" w:cs="仿宋"/>
            <w:color w:val="auto"/>
            <w:sz w:val="28"/>
            <w:szCs w:val="28"/>
            <w:highlight w:val="none"/>
            <w:lang w:val="en-US" w:eastAsia="zh-CN"/>
          </w:rPr>
          <w:t>按</w:t>
        </w:r>
      </w:ins>
      <w:ins w:id="21" w:author="威武老包子" w:date="2026-03-12T09:01:49Z">
        <w:r>
          <w:rPr>
            <w:rFonts w:hint="eastAsia" w:ascii="仿宋" w:hAnsi="仿宋" w:eastAsia="仿宋" w:cs="仿宋"/>
            <w:color w:val="auto"/>
            <w:sz w:val="28"/>
            <w:szCs w:val="28"/>
            <w:highlight w:val="none"/>
            <w:lang w:val="en-US" w:eastAsia="zh-CN"/>
          </w:rPr>
          <w:t>季度</w:t>
        </w:r>
      </w:ins>
      <w:ins w:id="22" w:author="威武老包子" w:date="2026-03-12T09:01:52Z">
        <w:r>
          <w:rPr>
            <w:rFonts w:hint="eastAsia" w:ascii="仿宋" w:hAnsi="仿宋" w:eastAsia="仿宋" w:cs="仿宋"/>
            <w:color w:val="auto"/>
            <w:sz w:val="28"/>
            <w:szCs w:val="28"/>
            <w:highlight w:val="none"/>
            <w:lang w:val="en-US" w:eastAsia="zh-CN"/>
          </w:rPr>
          <w:t>付款</w:t>
        </w:r>
      </w:ins>
      <w:ins w:id="23" w:author="威武老包子" w:date="2026-03-12T09:01:53Z">
        <w:r>
          <w:rPr>
            <w:rFonts w:hint="eastAsia" w:ascii="仿宋" w:hAnsi="仿宋" w:eastAsia="仿宋" w:cs="仿宋"/>
            <w:color w:val="auto"/>
            <w:sz w:val="28"/>
            <w:szCs w:val="28"/>
            <w:highlight w:val="none"/>
            <w:lang w:val="en-US" w:eastAsia="zh-CN"/>
          </w:rPr>
          <w:t>。</w:t>
        </w:r>
      </w:ins>
      <w:ins w:id="24" w:author="威武老包子" w:date="2026-03-12T09:00:24Z">
        <w:r>
          <w:rPr>
            <w:rFonts w:hint="eastAsia" w:ascii="仿宋" w:hAnsi="仿宋" w:eastAsia="仿宋" w:cs="仿宋"/>
            <w:color w:val="auto"/>
            <w:sz w:val="28"/>
            <w:szCs w:val="28"/>
            <w:highlight w:val="none"/>
            <w:lang w:val="en-US" w:eastAsia="zh-CN"/>
          </w:rPr>
          <w:t>供应商</w:t>
        </w:r>
      </w:ins>
      <w:ins w:id="25" w:author="威武老包子" w:date="2026-03-12T09:00:24Z">
        <w:r>
          <w:rPr>
            <w:rFonts w:hint="eastAsia" w:ascii="仿宋" w:hAnsi="仿宋" w:eastAsia="仿宋" w:cs="仿宋"/>
            <w:color w:val="auto"/>
            <w:sz w:val="28"/>
            <w:szCs w:val="28"/>
            <w:highlight w:val="none"/>
          </w:rPr>
          <w:t>凭</w:t>
        </w:r>
      </w:ins>
      <w:ins w:id="26" w:author="威武老包子" w:date="2026-03-12T09:00:24Z">
        <w:r>
          <w:rPr>
            <w:rFonts w:hint="eastAsia" w:ascii="仿宋" w:hAnsi="仿宋" w:eastAsia="仿宋" w:cs="仿宋"/>
            <w:color w:val="auto"/>
            <w:sz w:val="28"/>
            <w:szCs w:val="28"/>
            <w:highlight w:val="none"/>
            <w:lang w:val="en-US" w:eastAsia="zh-CN"/>
          </w:rPr>
          <w:t>采购人签收</w:t>
        </w:r>
      </w:ins>
      <w:ins w:id="27" w:author="威武老包子" w:date="2026-03-12T09:00:24Z">
        <w:r>
          <w:rPr>
            <w:rFonts w:hint="eastAsia" w:ascii="仿宋" w:hAnsi="仿宋" w:eastAsia="仿宋" w:cs="仿宋"/>
            <w:color w:val="auto"/>
            <w:sz w:val="28"/>
            <w:szCs w:val="28"/>
            <w:highlight w:val="none"/>
          </w:rPr>
          <w:t>确认单进行结算。</w:t>
        </w:r>
      </w:ins>
    </w:p>
    <w:p w14:paraId="07FAD89B">
      <w:pPr>
        <w:adjustRightInd w:val="0"/>
        <w:snapToGrid w:val="0"/>
        <w:spacing w:line="460" w:lineRule="exact"/>
        <w:ind w:firstLine="560" w:firstLineChars="200"/>
        <w:contextualSpacing/>
        <w:rPr>
          <w:ins w:id="28" w:author="威武老包子" w:date="2026-03-12T09:39:03Z"/>
          <w:rFonts w:hint="eastAsia" w:ascii="仿宋" w:hAnsi="仿宋" w:eastAsia="仿宋" w:cs="仿宋"/>
          <w:color w:val="auto"/>
          <w:sz w:val="28"/>
          <w:szCs w:val="28"/>
          <w:highlight w:val="none"/>
          <w:lang w:eastAsia="zh-CN"/>
        </w:rPr>
      </w:pPr>
      <w:ins w:id="29" w:author="威武老包子" w:date="2026-03-12T09:00:24Z">
        <w:r>
          <w:rPr>
            <w:rFonts w:hint="eastAsia" w:ascii="仿宋" w:hAnsi="仿宋" w:eastAsia="仿宋" w:cs="仿宋"/>
            <w:bCs/>
            <w:color w:val="auto"/>
            <w:sz w:val="28"/>
            <w:szCs w:val="28"/>
            <w:highlight w:val="none"/>
            <w:lang w:val="en-US" w:eastAsia="zh-CN"/>
          </w:rPr>
          <w:t>供应商</w:t>
        </w:r>
      </w:ins>
      <w:ins w:id="30" w:author="威武老包子" w:date="2026-03-12T09:00:24Z">
        <w:r>
          <w:rPr>
            <w:rFonts w:hint="eastAsia" w:ascii="仿宋" w:hAnsi="仿宋" w:eastAsia="仿宋" w:cs="仿宋"/>
            <w:color w:val="auto"/>
            <w:sz w:val="28"/>
            <w:szCs w:val="28"/>
            <w:highlight w:val="none"/>
          </w:rPr>
          <w:t>须提供相应金额且符合</w:t>
        </w:r>
      </w:ins>
      <w:ins w:id="31" w:author="威武老包子" w:date="2026-03-12T09:00:24Z">
        <w:r>
          <w:rPr>
            <w:rFonts w:hint="eastAsia" w:ascii="仿宋" w:hAnsi="仿宋" w:eastAsia="仿宋" w:cs="仿宋"/>
            <w:color w:val="auto"/>
            <w:sz w:val="28"/>
            <w:szCs w:val="28"/>
            <w:highlight w:val="none"/>
            <w:lang w:val="en-US" w:eastAsia="zh-CN"/>
          </w:rPr>
          <w:t>采购人</w:t>
        </w:r>
      </w:ins>
      <w:ins w:id="32" w:author="威武老包子" w:date="2026-03-12T09:00:24Z">
        <w:r>
          <w:rPr>
            <w:rFonts w:hint="eastAsia" w:ascii="仿宋" w:hAnsi="仿宋" w:eastAsia="仿宋" w:cs="仿宋"/>
            <w:color w:val="auto"/>
            <w:sz w:val="28"/>
            <w:szCs w:val="28"/>
            <w:highlight w:val="none"/>
          </w:rPr>
          <w:t>财务制度规定的发票，</w:t>
        </w:r>
      </w:ins>
      <w:ins w:id="33" w:author="威武老包子" w:date="2026-03-12T09:00:24Z">
        <w:r>
          <w:rPr>
            <w:rFonts w:hint="eastAsia" w:ascii="仿宋" w:hAnsi="仿宋" w:eastAsia="仿宋" w:cs="仿宋"/>
            <w:color w:val="auto"/>
            <w:sz w:val="28"/>
            <w:szCs w:val="28"/>
            <w:highlight w:val="none"/>
            <w:lang w:val="en-US" w:eastAsia="zh-CN"/>
          </w:rPr>
          <w:t>采购人</w:t>
        </w:r>
      </w:ins>
      <w:ins w:id="34" w:author="威武老包子" w:date="2026-03-12T09:00:24Z">
        <w:r>
          <w:rPr>
            <w:rFonts w:hint="eastAsia" w:ascii="仿宋" w:hAnsi="仿宋" w:eastAsia="仿宋" w:cs="仿宋"/>
            <w:color w:val="auto"/>
            <w:sz w:val="28"/>
            <w:szCs w:val="28"/>
            <w:highlight w:val="none"/>
          </w:rPr>
          <w:t>按程序审批后支付款项</w:t>
        </w:r>
      </w:ins>
      <w:ins w:id="35" w:author="威武老包子" w:date="2026-03-12T09:07:45Z">
        <w:r>
          <w:rPr>
            <w:rFonts w:hint="eastAsia" w:ascii="仿宋" w:hAnsi="仿宋" w:eastAsia="仿宋" w:cs="仿宋"/>
            <w:color w:val="auto"/>
            <w:sz w:val="28"/>
            <w:szCs w:val="28"/>
            <w:highlight w:val="none"/>
            <w:lang w:eastAsia="zh-CN"/>
          </w:rPr>
          <w:t>。</w:t>
        </w:r>
      </w:ins>
    </w:p>
    <w:p w14:paraId="56DFB63C">
      <w:pPr>
        <w:numPr>
          <w:ilvl w:val="0"/>
          <w:numId w:val="3"/>
        </w:numPr>
        <w:spacing w:line="460" w:lineRule="exact"/>
        <w:contextualSpacing/>
        <w:jc w:val="left"/>
        <w:rPr>
          <w:ins w:id="36" w:author="威武老包子" w:date="2026-03-12T09:39:44Z"/>
          <w:rFonts w:hint="default" w:ascii="仿宋" w:hAnsi="仿宋" w:eastAsia="仿宋" w:cs="仿宋"/>
          <w:b/>
          <w:color w:val="auto"/>
          <w:sz w:val="28"/>
          <w:szCs w:val="28"/>
          <w:highlight w:val="none"/>
          <w:lang w:val="en-US" w:eastAsia="zh-CN"/>
        </w:rPr>
      </w:pPr>
      <w:ins w:id="37" w:author="威武老包子" w:date="2026-03-12T09:39:35Z">
        <w:r>
          <w:rPr>
            <w:rFonts w:hint="eastAsia" w:ascii="仿宋" w:hAnsi="仿宋" w:eastAsia="仿宋" w:cs="仿宋"/>
            <w:b/>
            <w:color w:val="auto"/>
            <w:sz w:val="28"/>
            <w:szCs w:val="28"/>
            <w:highlight w:val="none"/>
            <w:lang w:val="en-US" w:eastAsia="zh-CN"/>
          </w:rPr>
          <w:t>其他</w:t>
        </w:r>
      </w:ins>
    </w:p>
    <w:p w14:paraId="75F8F20C">
      <w:pPr>
        <w:numPr>
          <w:ilvl w:val="0"/>
          <w:numId w:val="0"/>
        </w:numPr>
        <w:spacing w:line="460" w:lineRule="exact"/>
        <w:ind w:firstLine="562" w:firstLineChars="200"/>
        <w:contextualSpacing/>
        <w:jc w:val="left"/>
        <w:rPr>
          <w:ins w:id="38" w:author="威武老包子" w:date="2026-03-12T09:00:24Z"/>
          <w:rFonts w:hint="default" w:ascii="仿宋" w:hAnsi="仿宋" w:eastAsia="仿宋" w:cs="仿宋"/>
          <w:b/>
          <w:color w:val="auto"/>
          <w:sz w:val="28"/>
          <w:szCs w:val="28"/>
          <w:highlight w:val="none"/>
          <w:lang w:val="en-US" w:eastAsia="zh-CN"/>
        </w:rPr>
        <w:sectPr>
          <w:headerReference r:id="rId3" w:type="default"/>
          <w:footerReference r:id="rId4" w:type="default"/>
          <w:pgSz w:w="11905" w:h="16838"/>
          <w:pgMar w:top="1361" w:right="1304" w:bottom="1361" w:left="1361" w:header="850" w:footer="850" w:gutter="0"/>
          <w:cols w:space="720" w:num="1"/>
          <w:docGrid w:linePitch="312" w:charSpace="0"/>
        </w:sectPr>
      </w:pPr>
      <w:ins w:id="39" w:author="威武老包子" w:date="2026-03-12T09:40:08Z">
        <w:r>
          <w:rPr>
            <w:rFonts w:hint="eastAsia" w:ascii="仿宋" w:hAnsi="仿宋" w:eastAsia="仿宋" w:cs="仿宋"/>
            <w:b/>
            <w:color w:val="auto"/>
            <w:sz w:val="28"/>
            <w:szCs w:val="28"/>
            <w:highlight w:val="none"/>
            <w:lang w:val="en-US" w:eastAsia="zh-CN"/>
          </w:rPr>
          <w:t>供应商</w:t>
        </w:r>
      </w:ins>
      <w:ins w:id="40" w:author="威武老包子" w:date="2026-03-12T09:40:14Z">
        <w:r>
          <w:rPr>
            <w:rFonts w:hint="eastAsia" w:ascii="仿宋" w:hAnsi="仿宋" w:eastAsia="仿宋" w:cs="仿宋"/>
            <w:b/>
            <w:color w:val="auto"/>
            <w:sz w:val="28"/>
            <w:szCs w:val="28"/>
            <w:highlight w:val="none"/>
            <w:lang w:val="en-US" w:eastAsia="zh-CN"/>
          </w:rPr>
          <w:t>所有</w:t>
        </w:r>
      </w:ins>
      <w:ins w:id="41" w:author="威武老包子" w:date="2026-03-12T09:40:15Z">
        <w:r>
          <w:rPr>
            <w:rFonts w:hint="eastAsia" w:ascii="仿宋" w:hAnsi="仿宋" w:eastAsia="仿宋" w:cs="仿宋"/>
            <w:b/>
            <w:color w:val="auto"/>
            <w:sz w:val="28"/>
            <w:szCs w:val="28"/>
            <w:highlight w:val="none"/>
            <w:lang w:val="en-US" w:eastAsia="zh-CN"/>
          </w:rPr>
          <w:t>产品</w:t>
        </w:r>
      </w:ins>
      <w:ins w:id="42" w:author="威武老包子" w:date="2026-03-12T09:40:17Z">
        <w:r>
          <w:rPr>
            <w:rFonts w:hint="eastAsia" w:ascii="仿宋" w:hAnsi="仿宋" w:eastAsia="仿宋" w:cs="仿宋"/>
            <w:b/>
            <w:color w:val="auto"/>
            <w:sz w:val="28"/>
            <w:szCs w:val="28"/>
            <w:highlight w:val="none"/>
            <w:lang w:val="en-US" w:eastAsia="zh-CN"/>
          </w:rPr>
          <w:t>在</w:t>
        </w:r>
      </w:ins>
      <w:ins w:id="43" w:author="威武老包子" w:date="2026-03-12T09:40:21Z">
        <w:r>
          <w:rPr>
            <w:rFonts w:hint="eastAsia" w:ascii="仿宋" w:hAnsi="仿宋" w:eastAsia="仿宋" w:cs="仿宋"/>
            <w:b/>
            <w:color w:val="auto"/>
            <w:sz w:val="28"/>
            <w:szCs w:val="28"/>
            <w:highlight w:val="none"/>
            <w:lang w:val="en-US" w:eastAsia="zh-CN"/>
          </w:rPr>
          <w:t>本院</w:t>
        </w:r>
      </w:ins>
      <w:ins w:id="44" w:author="威武老包子" w:date="2026-03-12T09:40:22Z">
        <w:r>
          <w:rPr>
            <w:rFonts w:hint="eastAsia" w:ascii="仿宋" w:hAnsi="仿宋" w:eastAsia="仿宋" w:cs="仿宋"/>
            <w:b/>
            <w:color w:val="auto"/>
            <w:sz w:val="28"/>
            <w:szCs w:val="28"/>
            <w:highlight w:val="none"/>
            <w:lang w:val="en-US" w:eastAsia="zh-CN"/>
          </w:rPr>
          <w:t>的</w:t>
        </w:r>
      </w:ins>
      <w:ins w:id="45" w:author="威武老包子" w:date="2026-03-12T09:40:23Z">
        <w:r>
          <w:rPr>
            <w:rFonts w:hint="eastAsia" w:ascii="仿宋" w:hAnsi="仿宋" w:eastAsia="仿宋" w:cs="仿宋"/>
            <w:b/>
            <w:color w:val="auto"/>
            <w:sz w:val="28"/>
            <w:szCs w:val="28"/>
            <w:highlight w:val="none"/>
            <w:lang w:val="en-US" w:eastAsia="zh-CN"/>
          </w:rPr>
          <w:t>售价</w:t>
        </w:r>
      </w:ins>
      <w:ins w:id="46" w:author="威武老包子" w:date="2026-03-12T09:40:26Z">
        <w:r>
          <w:rPr>
            <w:rFonts w:hint="eastAsia" w:ascii="仿宋" w:hAnsi="仿宋" w:eastAsia="仿宋" w:cs="仿宋"/>
            <w:b/>
            <w:color w:val="auto"/>
            <w:sz w:val="28"/>
            <w:szCs w:val="28"/>
            <w:highlight w:val="none"/>
            <w:lang w:val="en-US" w:eastAsia="zh-CN"/>
          </w:rPr>
          <w:t>不得</w:t>
        </w:r>
      </w:ins>
      <w:ins w:id="47" w:author="威武老包子" w:date="2026-03-12T09:40:28Z">
        <w:r>
          <w:rPr>
            <w:rFonts w:hint="eastAsia" w:ascii="仿宋" w:hAnsi="仿宋" w:eastAsia="仿宋" w:cs="仿宋"/>
            <w:b/>
            <w:color w:val="auto"/>
            <w:sz w:val="28"/>
            <w:szCs w:val="28"/>
            <w:highlight w:val="none"/>
            <w:lang w:val="en-US" w:eastAsia="zh-CN"/>
          </w:rPr>
          <w:t>高于</w:t>
        </w:r>
      </w:ins>
      <w:ins w:id="48" w:author="威武老包子" w:date="2026-03-12T09:40:30Z">
        <w:r>
          <w:rPr>
            <w:rFonts w:hint="eastAsia" w:ascii="仿宋" w:hAnsi="仿宋" w:eastAsia="仿宋" w:cs="仿宋"/>
            <w:b/>
            <w:color w:val="auto"/>
            <w:sz w:val="28"/>
            <w:szCs w:val="28"/>
            <w:highlight w:val="none"/>
            <w:lang w:val="en-US" w:eastAsia="zh-CN"/>
          </w:rPr>
          <w:t>其</w:t>
        </w:r>
      </w:ins>
      <w:ins w:id="49" w:author="威武老包子" w:date="2026-03-12T09:40:32Z">
        <w:r>
          <w:rPr>
            <w:rFonts w:hint="eastAsia" w:ascii="仿宋" w:hAnsi="仿宋" w:eastAsia="仿宋" w:cs="仿宋"/>
            <w:b/>
            <w:color w:val="auto"/>
            <w:sz w:val="28"/>
            <w:szCs w:val="28"/>
            <w:highlight w:val="none"/>
            <w:lang w:val="en-US" w:eastAsia="zh-CN"/>
          </w:rPr>
          <w:t>在</w:t>
        </w:r>
      </w:ins>
      <w:ins w:id="50" w:author="威武老包子" w:date="2026-03-12T09:41:19Z">
        <w:r>
          <w:rPr>
            <w:rFonts w:hint="eastAsia" w:ascii="仿宋" w:hAnsi="仿宋" w:eastAsia="仿宋" w:cs="仿宋"/>
            <w:b/>
            <w:color w:val="auto"/>
            <w:sz w:val="28"/>
            <w:szCs w:val="28"/>
            <w:highlight w:val="none"/>
            <w:lang w:val="en-US" w:eastAsia="zh-CN"/>
          </w:rPr>
          <w:t>江苏省内</w:t>
        </w:r>
      </w:ins>
      <w:ins w:id="51" w:author="威武老包子" w:date="2026-03-12T09:41:21Z">
        <w:r>
          <w:rPr>
            <w:rFonts w:hint="eastAsia" w:ascii="仿宋" w:hAnsi="仿宋" w:eastAsia="仿宋" w:cs="仿宋"/>
            <w:b/>
            <w:color w:val="auto"/>
            <w:sz w:val="28"/>
            <w:szCs w:val="28"/>
            <w:highlight w:val="none"/>
            <w:lang w:val="en-US" w:eastAsia="zh-CN"/>
          </w:rPr>
          <w:t>其他</w:t>
        </w:r>
      </w:ins>
      <w:ins w:id="52" w:author="威武老包子" w:date="2026-03-12T09:41:50Z">
        <w:r>
          <w:rPr>
            <w:rFonts w:hint="eastAsia" w:ascii="仿宋" w:hAnsi="仿宋" w:eastAsia="仿宋" w:cs="仿宋"/>
            <w:b/>
            <w:color w:val="auto"/>
            <w:sz w:val="28"/>
            <w:szCs w:val="28"/>
            <w:highlight w:val="none"/>
            <w:lang w:val="en-US" w:eastAsia="zh-CN"/>
          </w:rPr>
          <w:t>同类</w:t>
        </w:r>
      </w:ins>
      <w:ins w:id="53" w:author="威武老包子" w:date="2026-03-12T09:41:52Z">
        <w:r>
          <w:rPr>
            <w:rFonts w:hint="eastAsia" w:ascii="仿宋" w:hAnsi="仿宋" w:eastAsia="仿宋" w:cs="仿宋"/>
            <w:b/>
            <w:color w:val="auto"/>
            <w:sz w:val="28"/>
            <w:szCs w:val="28"/>
            <w:highlight w:val="none"/>
            <w:lang w:val="en-US" w:eastAsia="zh-CN"/>
          </w:rPr>
          <w:t>型</w:t>
        </w:r>
      </w:ins>
      <w:ins w:id="54" w:author="威武老包子" w:date="2026-03-12T09:41:29Z">
        <w:r>
          <w:rPr>
            <w:rFonts w:hint="eastAsia" w:ascii="仿宋" w:hAnsi="仿宋" w:eastAsia="仿宋" w:cs="仿宋"/>
            <w:b/>
            <w:color w:val="auto"/>
            <w:sz w:val="28"/>
            <w:szCs w:val="28"/>
            <w:highlight w:val="none"/>
            <w:lang w:val="en-US" w:eastAsia="zh-CN"/>
          </w:rPr>
          <w:t>医院的</w:t>
        </w:r>
      </w:ins>
      <w:ins w:id="55" w:author="威武老包子" w:date="2026-03-12T09:41:57Z">
        <w:r>
          <w:rPr>
            <w:rFonts w:hint="eastAsia" w:ascii="仿宋" w:hAnsi="仿宋" w:eastAsia="仿宋" w:cs="仿宋"/>
            <w:b/>
            <w:color w:val="auto"/>
            <w:sz w:val="28"/>
            <w:szCs w:val="28"/>
            <w:highlight w:val="none"/>
            <w:lang w:val="en-US" w:eastAsia="zh-CN"/>
          </w:rPr>
          <w:t>售价</w:t>
        </w:r>
      </w:ins>
      <w:ins w:id="56" w:author="威武老包子" w:date="2026-03-12T09:41:58Z">
        <w:r>
          <w:rPr>
            <w:rFonts w:hint="eastAsia" w:ascii="仿宋" w:hAnsi="仿宋" w:eastAsia="仿宋" w:cs="仿宋"/>
            <w:b/>
            <w:color w:val="auto"/>
            <w:sz w:val="28"/>
            <w:szCs w:val="28"/>
            <w:highlight w:val="none"/>
            <w:lang w:val="en-US" w:eastAsia="zh-CN"/>
          </w:rPr>
          <w:t>。</w:t>
        </w:r>
      </w:ins>
    </w:p>
    <w:p w14:paraId="2961521D">
      <w:pPr>
        <w:spacing w:line="360" w:lineRule="auto"/>
        <w:ind w:firstLine="0"/>
        <w:rPr>
          <w:ins w:id="57" w:author="威武老包子" w:date="2026-03-12T09:38:55Z"/>
          <w:rFonts w:hint="eastAsia" w:ascii="宋体" w:hAnsi="宋体" w:eastAsia="宋体" w:cs="宋体"/>
          <w:sz w:val="24"/>
          <w:szCs w:val="24"/>
        </w:rPr>
      </w:pPr>
    </w:p>
    <w:p w14:paraId="7667714E">
      <w:pPr>
        <w:spacing w:line="360" w:lineRule="auto"/>
        <w:ind w:firstLine="0"/>
        <w:rPr>
          <w:rFonts w:hint="eastAsia" w:ascii="宋体" w:hAnsi="宋体" w:eastAsia="宋体" w:cs="宋体"/>
          <w:b/>
          <w:bCs/>
          <w:sz w:val="24"/>
          <w:szCs w:val="24"/>
        </w:rPr>
      </w:pPr>
      <w:r>
        <w:rPr>
          <w:rFonts w:hint="eastAsia" w:ascii="宋体" w:hAnsi="宋体" w:eastAsia="宋体" w:cs="宋体"/>
          <w:b/>
          <w:bCs/>
          <w:sz w:val="24"/>
          <w:szCs w:val="24"/>
        </w:rPr>
        <w:t>附件1：</w:t>
      </w:r>
    </w:p>
    <w:p w14:paraId="18731732">
      <w:pPr>
        <w:jc w:val="center"/>
        <w:rPr>
          <w:rFonts w:hint="eastAsia" w:ascii="宋体" w:hAnsi="宋体" w:eastAsia="宋体" w:cs="宋体"/>
          <w:b/>
          <w:bCs/>
          <w:sz w:val="24"/>
          <w:szCs w:val="24"/>
        </w:rPr>
      </w:pPr>
      <w:bookmarkStart w:id="3" w:name="_Hlk131258959"/>
      <w:r>
        <w:rPr>
          <w:rFonts w:hint="eastAsia" w:ascii="宋体" w:hAnsi="宋体" w:eastAsia="宋体" w:cs="宋体"/>
          <w:b/>
          <w:bCs/>
          <w:sz w:val="24"/>
          <w:szCs w:val="24"/>
        </w:rPr>
        <w:t>肠内营养配</w:t>
      </w:r>
      <w:r>
        <w:rPr>
          <w:rFonts w:hint="eastAsia" w:ascii="宋体" w:hAnsi="宋体" w:cs="宋体"/>
          <w:b/>
          <w:bCs/>
          <w:sz w:val="24"/>
          <w:lang w:eastAsia="zh-CN"/>
        </w:rPr>
        <w:t>置</w:t>
      </w:r>
      <w:r>
        <w:rPr>
          <w:rFonts w:hint="eastAsia" w:ascii="宋体" w:hAnsi="宋体" w:eastAsia="宋体" w:cs="宋体"/>
          <w:b/>
          <w:bCs/>
          <w:sz w:val="24"/>
          <w:szCs w:val="24"/>
        </w:rPr>
        <w:t>室设备清单</w:t>
      </w:r>
    </w:p>
    <w:bookmarkEnd w:id="3"/>
    <w:tbl>
      <w:tblPr>
        <w:tblStyle w:val="11"/>
        <w:tblW w:w="7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4108"/>
        <w:gridCol w:w="1008"/>
        <w:gridCol w:w="1232"/>
      </w:tblGrid>
      <w:tr w14:paraId="0A07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890" w:type="dxa"/>
            <w:noWrap w:val="0"/>
            <w:vAlign w:val="center"/>
          </w:tcPr>
          <w:p w14:paraId="5A95D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序号</w:t>
            </w:r>
          </w:p>
        </w:tc>
        <w:tc>
          <w:tcPr>
            <w:tcW w:w="4108" w:type="dxa"/>
            <w:noWrap w:val="0"/>
            <w:vAlign w:val="center"/>
          </w:tcPr>
          <w:p w14:paraId="1BDA1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名称</w:t>
            </w:r>
          </w:p>
        </w:tc>
        <w:tc>
          <w:tcPr>
            <w:tcW w:w="1008" w:type="dxa"/>
            <w:noWrap w:val="0"/>
            <w:vAlign w:val="center"/>
          </w:tcPr>
          <w:p w14:paraId="5C768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数量</w:t>
            </w:r>
          </w:p>
        </w:tc>
        <w:tc>
          <w:tcPr>
            <w:tcW w:w="1232" w:type="dxa"/>
            <w:noWrap w:val="0"/>
            <w:vAlign w:val="center"/>
          </w:tcPr>
          <w:p w14:paraId="4673D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单位</w:t>
            </w:r>
          </w:p>
        </w:tc>
      </w:tr>
      <w:tr w14:paraId="7D3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23AE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108" w:type="dxa"/>
            <w:noWrap w:val="0"/>
            <w:vAlign w:val="center"/>
          </w:tcPr>
          <w:p w14:paraId="557682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医用冰箱</w:t>
            </w:r>
          </w:p>
        </w:tc>
        <w:tc>
          <w:tcPr>
            <w:tcW w:w="1008" w:type="dxa"/>
            <w:noWrap w:val="0"/>
            <w:vAlign w:val="center"/>
          </w:tcPr>
          <w:p w14:paraId="13E4C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3C5F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05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FAF2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108" w:type="dxa"/>
            <w:noWrap w:val="0"/>
            <w:vAlign w:val="center"/>
          </w:tcPr>
          <w:p w14:paraId="1B284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电子搅拌器</w:t>
            </w:r>
          </w:p>
        </w:tc>
        <w:tc>
          <w:tcPr>
            <w:tcW w:w="1008" w:type="dxa"/>
            <w:noWrap w:val="0"/>
            <w:vAlign w:val="center"/>
          </w:tcPr>
          <w:p w14:paraId="35F1E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40C92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F07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255D2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108" w:type="dxa"/>
            <w:noWrap w:val="0"/>
            <w:vAlign w:val="center"/>
          </w:tcPr>
          <w:p w14:paraId="289F7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空气消毒净化设备</w:t>
            </w:r>
          </w:p>
        </w:tc>
        <w:tc>
          <w:tcPr>
            <w:tcW w:w="1008" w:type="dxa"/>
            <w:noWrap w:val="0"/>
            <w:vAlign w:val="center"/>
          </w:tcPr>
          <w:p w14:paraId="02D44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568A4F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53A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6EAB7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108" w:type="dxa"/>
            <w:noWrap w:val="0"/>
            <w:vAlign w:val="center"/>
          </w:tcPr>
          <w:p w14:paraId="5644C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洁净工作台</w:t>
            </w:r>
          </w:p>
        </w:tc>
        <w:tc>
          <w:tcPr>
            <w:tcW w:w="1008" w:type="dxa"/>
            <w:noWrap w:val="0"/>
            <w:vAlign w:val="center"/>
          </w:tcPr>
          <w:p w14:paraId="28C5B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2E5FF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6AA3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5247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108" w:type="dxa"/>
            <w:noWrap w:val="0"/>
            <w:vAlign w:val="center"/>
          </w:tcPr>
          <w:p w14:paraId="77C017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水温控制设备</w:t>
            </w:r>
          </w:p>
        </w:tc>
        <w:tc>
          <w:tcPr>
            <w:tcW w:w="1008" w:type="dxa"/>
            <w:noWrap w:val="0"/>
            <w:vAlign w:val="center"/>
          </w:tcPr>
          <w:p w14:paraId="1EDD3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32B4A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658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4D91F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108" w:type="dxa"/>
            <w:noWrap w:val="0"/>
            <w:vAlign w:val="center"/>
          </w:tcPr>
          <w:p w14:paraId="2F4E4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电子秤</w:t>
            </w:r>
          </w:p>
        </w:tc>
        <w:tc>
          <w:tcPr>
            <w:tcW w:w="1008" w:type="dxa"/>
            <w:noWrap w:val="0"/>
            <w:vAlign w:val="center"/>
          </w:tcPr>
          <w:p w14:paraId="030EE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F0F6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0A6E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1AC81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108" w:type="dxa"/>
            <w:noWrap w:val="0"/>
            <w:vAlign w:val="center"/>
          </w:tcPr>
          <w:p w14:paraId="103A0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消毒柜</w:t>
            </w:r>
          </w:p>
        </w:tc>
        <w:tc>
          <w:tcPr>
            <w:tcW w:w="1008" w:type="dxa"/>
            <w:noWrap w:val="0"/>
            <w:vAlign w:val="center"/>
          </w:tcPr>
          <w:p w14:paraId="47995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4ADFB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1E0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77A34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108" w:type="dxa"/>
            <w:noWrap w:val="0"/>
            <w:vAlign w:val="center"/>
          </w:tcPr>
          <w:p w14:paraId="0408D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微波炉</w:t>
            </w:r>
          </w:p>
        </w:tc>
        <w:tc>
          <w:tcPr>
            <w:tcW w:w="1008" w:type="dxa"/>
            <w:noWrap w:val="0"/>
            <w:vAlign w:val="center"/>
          </w:tcPr>
          <w:p w14:paraId="342F1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C5B8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66B8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7CB06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108" w:type="dxa"/>
            <w:noWrap w:val="0"/>
            <w:vAlign w:val="center"/>
          </w:tcPr>
          <w:p w14:paraId="58AD1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清洗工具</w:t>
            </w:r>
          </w:p>
        </w:tc>
        <w:tc>
          <w:tcPr>
            <w:tcW w:w="1008" w:type="dxa"/>
            <w:noWrap w:val="0"/>
            <w:vAlign w:val="center"/>
          </w:tcPr>
          <w:p w14:paraId="362F1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8C9C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6E8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031F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108" w:type="dxa"/>
            <w:noWrap w:val="0"/>
            <w:vAlign w:val="center"/>
          </w:tcPr>
          <w:p w14:paraId="13C40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量杯、量勺等</w:t>
            </w:r>
          </w:p>
        </w:tc>
        <w:tc>
          <w:tcPr>
            <w:tcW w:w="1008" w:type="dxa"/>
            <w:noWrap w:val="0"/>
            <w:vAlign w:val="center"/>
          </w:tcPr>
          <w:p w14:paraId="1ED9C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0AD39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r>
      <w:tr w14:paraId="565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2C0A3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108" w:type="dxa"/>
            <w:noWrap w:val="0"/>
            <w:vAlign w:val="center"/>
          </w:tcPr>
          <w:p w14:paraId="3112A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匀浆机</w:t>
            </w:r>
          </w:p>
        </w:tc>
        <w:tc>
          <w:tcPr>
            <w:tcW w:w="1008" w:type="dxa"/>
            <w:noWrap w:val="0"/>
            <w:vAlign w:val="center"/>
          </w:tcPr>
          <w:p w14:paraId="31DD4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0AAE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5480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257F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4108" w:type="dxa"/>
            <w:noWrap w:val="0"/>
            <w:vAlign w:val="center"/>
          </w:tcPr>
          <w:p w14:paraId="2A9BF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制剂存储柜</w:t>
            </w:r>
          </w:p>
        </w:tc>
        <w:tc>
          <w:tcPr>
            <w:tcW w:w="1008" w:type="dxa"/>
            <w:noWrap w:val="0"/>
            <w:vAlign w:val="center"/>
          </w:tcPr>
          <w:p w14:paraId="305F1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0F6FF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14:paraId="0C3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6A20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4108" w:type="dxa"/>
            <w:noWrap w:val="0"/>
            <w:vAlign w:val="center"/>
          </w:tcPr>
          <w:p w14:paraId="52EA5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紫外线消毒灯</w:t>
            </w:r>
          </w:p>
        </w:tc>
        <w:tc>
          <w:tcPr>
            <w:tcW w:w="1008" w:type="dxa"/>
            <w:noWrap w:val="0"/>
            <w:vAlign w:val="center"/>
          </w:tcPr>
          <w:p w14:paraId="4919F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32" w:type="dxa"/>
            <w:noWrap w:val="0"/>
            <w:vAlign w:val="center"/>
          </w:tcPr>
          <w:p w14:paraId="77880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r>
      <w:tr w14:paraId="4B4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B497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4108" w:type="dxa"/>
            <w:noWrap w:val="0"/>
            <w:vAlign w:val="center"/>
          </w:tcPr>
          <w:p w14:paraId="57431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标签打印机</w:t>
            </w:r>
          </w:p>
        </w:tc>
        <w:tc>
          <w:tcPr>
            <w:tcW w:w="1008" w:type="dxa"/>
            <w:noWrap w:val="0"/>
            <w:vAlign w:val="center"/>
          </w:tcPr>
          <w:p w14:paraId="3F5A4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1BDB5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7E70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F05C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15</w:t>
            </w:r>
          </w:p>
        </w:tc>
        <w:tc>
          <w:tcPr>
            <w:tcW w:w="4108" w:type="dxa"/>
            <w:noWrap w:val="0"/>
            <w:vAlign w:val="center"/>
          </w:tcPr>
          <w:p w14:paraId="64CCC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针式打印机</w:t>
            </w:r>
          </w:p>
        </w:tc>
        <w:tc>
          <w:tcPr>
            <w:tcW w:w="1008" w:type="dxa"/>
            <w:noWrap w:val="0"/>
            <w:vAlign w:val="center"/>
          </w:tcPr>
          <w:p w14:paraId="3F64B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6472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4E7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6741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4108" w:type="dxa"/>
            <w:noWrap w:val="0"/>
            <w:vAlign w:val="center"/>
          </w:tcPr>
          <w:p w14:paraId="61275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办公用打印机</w:t>
            </w:r>
          </w:p>
        </w:tc>
        <w:tc>
          <w:tcPr>
            <w:tcW w:w="1008" w:type="dxa"/>
            <w:noWrap w:val="0"/>
            <w:vAlign w:val="center"/>
          </w:tcPr>
          <w:p w14:paraId="33009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158A7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8D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966F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17</w:t>
            </w:r>
          </w:p>
        </w:tc>
        <w:tc>
          <w:tcPr>
            <w:tcW w:w="4108" w:type="dxa"/>
            <w:noWrap w:val="0"/>
            <w:vAlign w:val="center"/>
          </w:tcPr>
          <w:p w14:paraId="676DA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电脑</w:t>
            </w:r>
          </w:p>
        </w:tc>
        <w:tc>
          <w:tcPr>
            <w:tcW w:w="1008" w:type="dxa"/>
            <w:noWrap w:val="0"/>
            <w:vAlign w:val="center"/>
          </w:tcPr>
          <w:p w14:paraId="1721B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2" w:type="dxa"/>
            <w:noWrap w:val="0"/>
            <w:vAlign w:val="center"/>
          </w:tcPr>
          <w:p w14:paraId="077A7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429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69BD1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4108" w:type="dxa"/>
            <w:noWrap w:val="0"/>
            <w:vAlign w:val="center"/>
          </w:tcPr>
          <w:p w14:paraId="18230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人员办公设备</w:t>
            </w:r>
          </w:p>
        </w:tc>
        <w:tc>
          <w:tcPr>
            <w:tcW w:w="1008" w:type="dxa"/>
            <w:noWrap w:val="0"/>
            <w:vAlign w:val="center"/>
          </w:tcPr>
          <w:p w14:paraId="4C05D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按需</w:t>
            </w:r>
          </w:p>
        </w:tc>
        <w:tc>
          <w:tcPr>
            <w:tcW w:w="1232" w:type="dxa"/>
            <w:noWrap w:val="0"/>
            <w:vAlign w:val="center"/>
          </w:tcPr>
          <w:p w14:paraId="0649D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r>
    </w:tbl>
    <w:p w14:paraId="5CB049B3">
      <w:pPr>
        <w:pStyle w:val="10"/>
        <w:rPr>
          <w:rFonts w:hint="eastAsia" w:ascii="宋体" w:hAnsi="宋体" w:eastAsia="宋体" w:cs="宋体"/>
          <w:b/>
          <w:bCs/>
          <w:color w:val="FF0000"/>
          <w:sz w:val="28"/>
          <w:szCs w:val="28"/>
        </w:rPr>
      </w:pPr>
      <w:r>
        <w:rPr>
          <w:rFonts w:hint="eastAsia" w:ascii="宋体" w:hAnsi="宋体" w:eastAsia="宋体" w:cs="宋体"/>
          <w:b/>
          <w:bCs/>
          <w:color w:val="FF0000"/>
          <w:sz w:val="28"/>
          <w:szCs w:val="28"/>
          <w:lang w:eastAsia="zh-CN"/>
        </w:rPr>
        <w:t>注：</w:t>
      </w:r>
      <w:r>
        <w:rPr>
          <w:rFonts w:hint="eastAsia" w:ascii="宋体" w:hAnsi="宋体" w:eastAsia="宋体" w:cs="宋体"/>
          <w:b/>
          <w:bCs/>
          <w:color w:val="FF0000"/>
          <w:sz w:val="28"/>
          <w:szCs w:val="28"/>
        </w:rPr>
        <w:t>以上设备合同期满设备产权归医院所有。</w:t>
      </w:r>
    </w:p>
    <w:p w14:paraId="214F85CE">
      <w:pPr>
        <w:jc w:val="left"/>
        <w:rPr>
          <w:rFonts w:hint="eastAsia" w:ascii="宋体" w:hAnsi="宋体" w:eastAsia="宋体" w:cs="宋体"/>
          <w:b/>
          <w:bCs/>
          <w:sz w:val="24"/>
          <w:szCs w:val="24"/>
        </w:rPr>
      </w:pPr>
      <w:r>
        <w:rPr>
          <w:rFonts w:hint="eastAsia" w:ascii="宋体" w:hAnsi="宋体" w:eastAsia="宋体" w:cs="宋体"/>
          <w:b/>
          <w:bCs/>
          <w:color w:val="FF0000"/>
          <w:sz w:val="28"/>
          <w:szCs w:val="28"/>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409DBFD9">
      <w:pPr>
        <w:pStyle w:val="10"/>
        <w:ind w:left="0" w:leftChars="0" w:firstLine="0" w:firstLineChars="0"/>
        <w:rPr>
          <w:rFonts w:hint="eastAsia" w:ascii="宋体" w:hAnsi="宋体" w:eastAsia="宋体" w:cs="宋体"/>
        </w:rPr>
      </w:pPr>
      <w:r>
        <w:rPr>
          <w:rFonts w:hint="eastAsia" w:ascii="宋体" w:hAnsi="宋体" w:eastAsia="宋体" w:cs="宋体"/>
          <w:b/>
          <w:bCs/>
          <w:sz w:val="24"/>
          <w:szCs w:val="24"/>
        </w:rPr>
        <w:t>数字化营养系统软件功能要求</w:t>
      </w:r>
    </w:p>
    <w:p w14:paraId="016EE60C">
      <w:pPr>
        <w:spacing w:line="360" w:lineRule="auto"/>
        <w:jc w:val="left"/>
        <w:rPr>
          <w:rFonts w:hint="eastAsia" w:ascii="宋体" w:hAnsi="宋体" w:eastAsia="宋体" w:cs="宋体"/>
          <w:b w:val="0"/>
          <w:bCs w:val="0"/>
          <w:color w:val="333333"/>
          <w:kern w:val="0"/>
          <w:sz w:val="24"/>
          <w:szCs w:val="24"/>
          <w:lang w:val="en-US" w:eastAsia="zh-CN"/>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val="0"/>
          <w:bCs w:val="0"/>
          <w:color w:val="333333"/>
          <w:kern w:val="0"/>
          <w:sz w:val="24"/>
          <w:szCs w:val="24"/>
          <w:lang w:val="en-US" w:eastAsia="zh-CN"/>
        </w:rPr>
        <w:t>临床营养综合信息系统需要包括门诊营养管理系统、住院营养管理系统和医用食品供应管理系统，另外，系统对接方式需满足医院的系统集成要求条款。</w:t>
      </w:r>
    </w:p>
    <w:tbl>
      <w:tblPr>
        <w:tblStyle w:val="12"/>
        <w:tblW w:w="7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5450"/>
      </w:tblGrid>
      <w:tr w14:paraId="0FE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B3218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模块</w:t>
            </w:r>
          </w:p>
        </w:tc>
        <w:tc>
          <w:tcPr>
            <w:tcW w:w="5450" w:type="dxa"/>
            <w:noWrap w:val="0"/>
            <w:vAlign w:val="top"/>
          </w:tcPr>
          <w:p w14:paraId="3A72F2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功能描述</w:t>
            </w:r>
          </w:p>
        </w:tc>
      </w:tr>
      <w:tr w14:paraId="208A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B2C8D63">
            <w:pPr>
              <w:jc w:val="center"/>
              <w:rPr>
                <w:rFonts w:hint="eastAsia" w:ascii="宋体" w:hAnsi="宋体" w:eastAsia="宋体" w:cs="宋体"/>
                <w:sz w:val="24"/>
                <w:szCs w:val="24"/>
              </w:rPr>
            </w:pPr>
            <w:r>
              <w:rPr>
                <w:rFonts w:hint="eastAsia" w:ascii="宋体" w:hAnsi="宋体" w:eastAsia="宋体" w:cs="宋体"/>
                <w:sz w:val="24"/>
                <w:szCs w:val="24"/>
              </w:rPr>
              <w:t>门诊待诊工作台</w:t>
            </w:r>
          </w:p>
        </w:tc>
        <w:tc>
          <w:tcPr>
            <w:tcW w:w="5450" w:type="dxa"/>
            <w:noWrap w:val="0"/>
            <w:vAlign w:val="top"/>
          </w:tcPr>
          <w:p w14:paraId="0294FD51">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可支持医院HIS系统或集成平台对接读取指定的挂号病人信息。</w:t>
            </w:r>
          </w:p>
          <w:p w14:paraId="0F9B3B29">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可手动添加病人，通过手工填写门诊病人信息生成门诊病人。</w:t>
            </w:r>
          </w:p>
          <w:p w14:paraId="7A8B972E">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待诊病人列表，可根据门诊号或姓名等快速查到病人。</w:t>
            </w:r>
          </w:p>
        </w:tc>
      </w:tr>
      <w:tr w14:paraId="353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1C1B945">
            <w:pPr>
              <w:jc w:val="center"/>
              <w:rPr>
                <w:rFonts w:hint="eastAsia" w:ascii="宋体" w:hAnsi="宋体" w:eastAsia="宋体" w:cs="宋体"/>
                <w:sz w:val="24"/>
                <w:szCs w:val="24"/>
              </w:rPr>
            </w:pPr>
            <w:r>
              <w:rPr>
                <w:rFonts w:hint="eastAsia" w:ascii="宋体" w:hAnsi="宋体" w:eastAsia="宋体" w:cs="宋体"/>
                <w:sz w:val="24"/>
                <w:szCs w:val="24"/>
              </w:rPr>
              <w:t>检查检验查询</w:t>
            </w:r>
          </w:p>
        </w:tc>
        <w:tc>
          <w:tcPr>
            <w:tcW w:w="5450" w:type="dxa"/>
            <w:noWrap w:val="0"/>
            <w:vAlign w:val="top"/>
          </w:tcPr>
          <w:p w14:paraId="3F62DF48">
            <w:pPr>
              <w:pStyle w:val="15"/>
              <w:numPr>
                <w:ilvl w:val="0"/>
                <w:numId w:val="5"/>
              </w:numPr>
              <w:ind w:firstLineChars="0"/>
              <w:rPr>
                <w:rFonts w:hint="eastAsia" w:ascii="宋体" w:hAnsi="宋体" w:eastAsia="宋体" w:cs="宋体"/>
                <w:sz w:val="24"/>
                <w:szCs w:val="24"/>
              </w:rPr>
            </w:pPr>
            <w:r>
              <w:rPr>
                <w:rFonts w:hint="eastAsia" w:ascii="宋体" w:hAnsi="宋体" w:eastAsia="宋体" w:cs="宋体"/>
                <w:sz w:val="24"/>
                <w:szCs w:val="24"/>
              </w:rPr>
              <w:t>可支持与医院LIS系统或集成平台对接读取指定病人的检查检验信息。</w:t>
            </w:r>
          </w:p>
          <w:p w14:paraId="4524D782">
            <w:pPr>
              <w:pStyle w:val="15"/>
              <w:numPr>
                <w:ilvl w:val="0"/>
                <w:numId w:val="5"/>
              </w:numPr>
              <w:ind w:firstLineChars="0"/>
              <w:rPr>
                <w:rFonts w:hint="eastAsia" w:ascii="宋体" w:hAnsi="宋体" w:eastAsia="宋体" w:cs="宋体"/>
                <w:sz w:val="24"/>
                <w:szCs w:val="24"/>
              </w:rPr>
            </w:pPr>
            <w:r>
              <w:rPr>
                <w:rFonts w:hint="eastAsia" w:ascii="宋体" w:hAnsi="宋体" w:eastAsia="宋体" w:cs="宋体"/>
                <w:sz w:val="24"/>
                <w:szCs w:val="24"/>
              </w:rPr>
              <w:t>支持自定义该患者哪几个指标作为重点关注而显示到界面中。</w:t>
            </w:r>
          </w:p>
        </w:tc>
      </w:tr>
      <w:tr w14:paraId="325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3D131F3">
            <w:pPr>
              <w:jc w:val="center"/>
              <w:rPr>
                <w:rFonts w:hint="eastAsia" w:ascii="宋体" w:hAnsi="宋体" w:eastAsia="宋体" w:cs="宋体"/>
                <w:sz w:val="24"/>
                <w:szCs w:val="24"/>
              </w:rPr>
            </w:pPr>
            <w:r>
              <w:rPr>
                <w:rFonts w:hint="eastAsia" w:ascii="宋体" w:hAnsi="宋体" w:eastAsia="宋体" w:cs="宋体"/>
                <w:sz w:val="24"/>
                <w:szCs w:val="24"/>
              </w:rPr>
              <w:t>体格评估</w:t>
            </w:r>
          </w:p>
        </w:tc>
        <w:tc>
          <w:tcPr>
            <w:tcW w:w="5450" w:type="dxa"/>
            <w:noWrap w:val="0"/>
            <w:vAlign w:val="top"/>
          </w:tcPr>
          <w:p w14:paraId="12695C87">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人体测量评估：人体各项指标评估，包括左右肱三头肌部皮褶厚度、左右肩胛下部皮褶厚度、左右握力、左右小腿围等。</w:t>
            </w:r>
          </w:p>
          <w:p w14:paraId="1A683650">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孕期体格评估：登记孕妇对应孕周的体重。对孕妇实际体重与理论标准体重进行对比分析，给出结论，同时生成体重增长曲线，评估报告可打印。</w:t>
            </w:r>
          </w:p>
          <w:p w14:paraId="117DC5CF">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儿童生长发育评估（WHO）：登记儿童的体格数据，系统进行Z评分和P评分，生成标准的体格发育标准图表及实际体格数据变化趋势。</w:t>
            </w:r>
          </w:p>
        </w:tc>
      </w:tr>
      <w:tr w14:paraId="287C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FEE9D44">
            <w:pPr>
              <w:jc w:val="center"/>
              <w:rPr>
                <w:rFonts w:hint="eastAsia" w:ascii="宋体" w:hAnsi="宋体" w:eastAsia="宋体" w:cs="宋体"/>
                <w:sz w:val="24"/>
                <w:szCs w:val="24"/>
              </w:rPr>
            </w:pPr>
            <w:r>
              <w:rPr>
                <w:rFonts w:hint="eastAsia" w:ascii="宋体" w:hAnsi="宋体" w:eastAsia="宋体" w:cs="宋体"/>
                <w:sz w:val="24"/>
                <w:szCs w:val="24"/>
              </w:rPr>
              <w:t>营养筛查</w:t>
            </w:r>
          </w:p>
        </w:tc>
        <w:tc>
          <w:tcPr>
            <w:tcW w:w="5450" w:type="dxa"/>
            <w:noWrap w:val="0"/>
            <w:vAlign w:val="top"/>
          </w:tcPr>
          <w:p w14:paraId="321D90C2">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标准NRS2002量表：包括疾病营养需要程度评价、营养受损-BMI评价、营养受损-体重变化评价、营养受损-进食量变化评价、年龄对营养风险的影响评价。</w:t>
            </w:r>
          </w:p>
          <w:p w14:paraId="037CAFAF">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儿童营养风险筛查表：包括疾病风险、营养摄入评价、生长状况评价。</w:t>
            </w:r>
          </w:p>
          <w:p w14:paraId="78DA729A">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所有表单系统可自动评分并给出结果。</w:t>
            </w:r>
          </w:p>
          <w:p w14:paraId="2C6D5708">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除上述表格外，可个性化定制表单。</w:t>
            </w:r>
          </w:p>
        </w:tc>
      </w:tr>
      <w:tr w14:paraId="484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0DD97DC">
            <w:pPr>
              <w:jc w:val="center"/>
              <w:rPr>
                <w:rFonts w:hint="eastAsia" w:ascii="宋体" w:hAnsi="宋体" w:eastAsia="宋体" w:cs="宋体"/>
                <w:sz w:val="24"/>
                <w:szCs w:val="24"/>
              </w:rPr>
            </w:pPr>
            <w:r>
              <w:rPr>
                <w:rFonts w:hint="eastAsia" w:ascii="宋体" w:hAnsi="宋体" w:eastAsia="宋体" w:cs="宋体"/>
                <w:sz w:val="24"/>
                <w:szCs w:val="24"/>
              </w:rPr>
              <w:t>营养评估</w:t>
            </w:r>
          </w:p>
        </w:tc>
        <w:tc>
          <w:tcPr>
            <w:tcW w:w="5450" w:type="dxa"/>
            <w:noWrap w:val="0"/>
            <w:vAlign w:val="top"/>
          </w:tcPr>
          <w:p w14:paraId="485B942A">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营养需求评定表、胃肠道功能评价表、SGA、PG-SGA等；</w:t>
            </w:r>
          </w:p>
          <w:p w14:paraId="5066F0B0">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所有表单系统可自动评分并给出结果；</w:t>
            </w:r>
          </w:p>
          <w:p w14:paraId="452C55E8">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除上述表格外，可个性化定制表单。</w:t>
            </w:r>
          </w:p>
        </w:tc>
      </w:tr>
      <w:tr w14:paraId="5C0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72011B">
            <w:pPr>
              <w:jc w:val="center"/>
              <w:rPr>
                <w:rFonts w:hint="eastAsia" w:ascii="宋体" w:hAnsi="宋体" w:eastAsia="宋体" w:cs="宋体"/>
                <w:sz w:val="24"/>
                <w:szCs w:val="24"/>
              </w:rPr>
            </w:pPr>
            <w:r>
              <w:rPr>
                <w:rFonts w:hint="eastAsia" w:ascii="宋体" w:hAnsi="宋体" w:eastAsia="宋体" w:cs="宋体"/>
                <w:sz w:val="24"/>
                <w:szCs w:val="24"/>
              </w:rPr>
              <w:t>膳食调查</w:t>
            </w:r>
          </w:p>
        </w:tc>
        <w:tc>
          <w:tcPr>
            <w:tcW w:w="5450" w:type="dxa"/>
            <w:noWrap w:val="0"/>
            <w:vAlign w:val="top"/>
          </w:tcPr>
          <w:p w14:paraId="62FB2287">
            <w:pPr>
              <w:pStyle w:val="15"/>
              <w:numPr>
                <w:ilvl w:val="0"/>
                <w:numId w:val="9"/>
              </w:numPr>
              <w:ind w:firstLineChars="0"/>
              <w:rPr>
                <w:rFonts w:hint="eastAsia" w:ascii="宋体" w:hAnsi="宋体" w:eastAsia="宋体" w:cs="宋体"/>
                <w:sz w:val="24"/>
                <w:szCs w:val="24"/>
              </w:rPr>
            </w:pPr>
            <w:r>
              <w:rPr>
                <w:rFonts w:hint="eastAsia" w:ascii="宋体" w:hAnsi="宋体" w:eastAsia="宋体" w:cs="宋体"/>
                <w:sz w:val="24"/>
                <w:szCs w:val="24"/>
              </w:rPr>
              <w:t>能根据患者回顾饮食情况，精细记录或按大类记录，可记录早餐、午餐、晚餐、加餐的内容，分析各营养素、能量的摄入。</w:t>
            </w:r>
          </w:p>
          <w:p w14:paraId="06B0C8F2">
            <w:pPr>
              <w:pStyle w:val="15"/>
              <w:numPr>
                <w:ilvl w:val="0"/>
                <w:numId w:val="9"/>
              </w:numPr>
              <w:ind w:firstLineChars="0"/>
              <w:rPr>
                <w:rFonts w:hint="eastAsia" w:ascii="宋体" w:hAnsi="宋体" w:eastAsia="宋体" w:cs="宋体"/>
                <w:sz w:val="24"/>
                <w:szCs w:val="24"/>
              </w:rPr>
            </w:pPr>
            <w:r>
              <w:rPr>
                <w:rFonts w:hint="eastAsia" w:ascii="宋体" w:hAnsi="宋体" w:eastAsia="宋体" w:cs="宋体"/>
                <w:sz w:val="24"/>
                <w:szCs w:val="24"/>
              </w:rPr>
              <w:t>可打印表单。</w:t>
            </w:r>
          </w:p>
        </w:tc>
      </w:tr>
      <w:tr w14:paraId="71E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8875E27">
            <w:pPr>
              <w:jc w:val="center"/>
              <w:rPr>
                <w:rFonts w:hint="eastAsia" w:ascii="宋体" w:hAnsi="宋体" w:eastAsia="宋体" w:cs="宋体"/>
                <w:sz w:val="24"/>
                <w:szCs w:val="24"/>
              </w:rPr>
            </w:pPr>
            <w:r>
              <w:rPr>
                <w:rFonts w:hint="eastAsia" w:ascii="宋体" w:hAnsi="宋体" w:eastAsia="宋体" w:cs="宋体"/>
                <w:sz w:val="24"/>
                <w:szCs w:val="24"/>
              </w:rPr>
              <w:t>营养素推荐</w:t>
            </w:r>
          </w:p>
        </w:tc>
        <w:tc>
          <w:tcPr>
            <w:tcW w:w="5450" w:type="dxa"/>
            <w:noWrap w:val="0"/>
            <w:vAlign w:val="top"/>
          </w:tcPr>
          <w:p w14:paraId="19ADA6F2">
            <w:pPr>
              <w:pStyle w:val="15"/>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系统可根据患者病情、筛查评估结果自动给出患者营养素摄入目标量推荐，并可按系数修正方式或蛋白/体重方式手动修改患者营养目标。</w:t>
            </w:r>
          </w:p>
        </w:tc>
      </w:tr>
      <w:tr w14:paraId="3655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F6AE075">
            <w:pPr>
              <w:jc w:val="center"/>
              <w:rPr>
                <w:rFonts w:hint="eastAsia" w:ascii="宋体" w:hAnsi="宋体" w:eastAsia="宋体" w:cs="宋体"/>
                <w:sz w:val="24"/>
                <w:szCs w:val="24"/>
              </w:rPr>
            </w:pPr>
            <w:r>
              <w:rPr>
                <w:rFonts w:hint="eastAsia" w:ascii="宋体" w:hAnsi="宋体" w:eastAsia="宋体" w:cs="宋体"/>
                <w:sz w:val="24"/>
                <w:szCs w:val="24"/>
              </w:rPr>
              <w:t>膳食指导</w:t>
            </w:r>
          </w:p>
        </w:tc>
        <w:tc>
          <w:tcPr>
            <w:tcW w:w="5450" w:type="dxa"/>
            <w:noWrap w:val="0"/>
            <w:vAlign w:val="top"/>
          </w:tcPr>
          <w:p w14:paraId="39B65828">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使用食物交换份法进行配餐，系统自动计算所需的食物份数、合计值，包括能量、营养素含量等，而后填写相应的膳食方案。</w:t>
            </w:r>
          </w:p>
          <w:p w14:paraId="546BCA0C">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系统内建现成食谱（如糖尿病、高血脂等），可自行选择后修改使用，也可按需求自建食谱。</w:t>
            </w:r>
          </w:p>
          <w:p w14:paraId="39B51A02">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最终形成可打印的膳食指导单；</w:t>
            </w:r>
          </w:p>
        </w:tc>
      </w:tr>
      <w:tr w14:paraId="2D87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45E7AE5">
            <w:pPr>
              <w:jc w:val="center"/>
              <w:rPr>
                <w:rFonts w:hint="eastAsia" w:ascii="宋体" w:hAnsi="宋体" w:eastAsia="宋体" w:cs="宋体"/>
                <w:sz w:val="24"/>
                <w:szCs w:val="24"/>
              </w:rPr>
            </w:pPr>
            <w:r>
              <w:rPr>
                <w:rFonts w:hint="eastAsia" w:ascii="宋体" w:hAnsi="宋体" w:eastAsia="宋体" w:cs="宋体"/>
                <w:sz w:val="24"/>
                <w:szCs w:val="24"/>
              </w:rPr>
              <w:t>肠内营养（门诊）</w:t>
            </w:r>
          </w:p>
        </w:tc>
        <w:tc>
          <w:tcPr>
            <w:tcW w:w="5450" w:type="dxa"/>
            <w:noWrap w:val="0"/>
            <w:vAlign w:val="top"/>
          </w:tcPr>
          <w:p w14:paraId="456193B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可根据患者实际信息，自动计算患者所需能量、营养素量，开具处方选择流入方式（配制、领用）、干预天数、以及对应产品后可自动计算实际能量、营养素含量；</w:t>
            </w:r>
          </w:p>
          <w:p w14:paraId="70F7CD50">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可选择产品的单位（支持选择最小单位如毫升、克等），填写数量等；</w:t>
            </w:r>
          </w:p>
          <w:p w14:paraId="2238170D">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产品支持自动生成用法用量信息，无需手动填写；</w:t>
            </w:r>
          </w:p>
          <w:p w14:paraId="41DCE5B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处方模板：预置糖尿病、乳腺癌、胃癌、肾病等不同档次能量的现成模板，可选择后自行修改使用，也可按需求自建模板；</w:t>
            </w:r>
          </w:p>
          <w:p w14:paraId="0331C77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可打印标准化处方单；</w:t>
            </w:r>
          </w:p>
        </w:tc>
      </w:tr>
      <w:tr w14:paraId="10E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4FC281B">
            <w:pPr>
              <w:jc w:val="center"/>
              <w:rPr>
                <w:rFonts w:hint="eastAsia" w:ascii="宋体" w:hAnsi="宋体" w:eastAsia="宋体" w:cs="宋体"/>
                <w:sz w:val="24"/>
                <w:szCs w:val="24"/>
              </w:rPr>
            </w:pPr>
            <w:r>
              <w:rPr>
                <w:rFonts w:hint="eastAsia" w:ascii="宋体" w:hAnsi="宋体" w:eastAsia="宋体" w:cs="宋体"/>
                <w:sz w:val="24"/>
                <w:szCs w:val="24"/>
              </w:rPr>
              <w:t>运动处方</w:t>
            </w:r>
          </w:p>
        </w:tc>
        <w:tc>
          <w:tcPr>
            <w:tcW w:w="5450" w:type="dxa"/>
            <w:noWrap w:val="0"/>
            <w:vAlign w:val="top"/>
          </w:tcPr>
          <w:p w14:paraId="3DBB7367">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根据患者信息，系统自动测评运动体质状况。</w:t>
            </w:r>
          </w:p>
          <w:p w14:paraId="43D527C0">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结合膳食摄入分析，通过运动能量消耗的方式改善患者的营养状况。系统能够提供全面的能量消耗评价，供营养师下达运动处方建议。</w:t>
            </w:r>
          </w:p>
          <w:p w14:paraId="3A224E0C">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运动种类齐全，罗列常见运动项目，包含了走路、跑步、体育运动、核心运动、调节运动、孕期运动。</w:t>
            </w:r>
          </w:p>
          <w:p w14:paraId="1FE2BD05">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每种运动项目都给出了标准的运动消耗，在进行运动干预时，方便营养师进行实时查看。</w:t>
            </w:r>
          </w:p>
          <w:p w14:paraId="43A28B93">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可维护运动处方模板；</w:t>
            </w:r>
          </w:p>
          <w:p w14:paraId="69142CD5">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计算摄入量、基础代谢与运动消耗，系统自动测算1个月后的预计减重公斤数。</w:t>
            </w:r>
          </w:p>
        </w:tc>
      </w:tr>
      <w:tr w14:paraId="1E10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081D60A">
            <w:pPr>
              <w:jc w:val="center"/>
              <w:rPr>
                <w:rFonts w:hint="eastAsia" w:ascii="宋体" w:hAnsi="宋体" w:eastAsia="宋体" w:cs="宋体"/>
                <w:sz w:val="24"/>
                <w:szCs w:val="24"/>
              </w:rPr>
            </w:pPr>
            <w:r>
              <w:rPr>
                <w:rFonts w:hint="eastAsia" w:ascii="宋体" w:hAnsi="宋体" w:eastAsia="宋体" w:cs="宋体"/>
                <w:sz w:val="24"/>
                <w:szCs w:val="24"/>
              </w:rPr>
              <w:t>门诊报告</w:t>
            </w:r>
          </w:p>
        </w:tc>
        <w:tc>
          <w:tcPr>
            <w:tcW w:w="5450" w:type="dxa"/>
            <w:noWrap w:val="0"/>
            <w:vAlign w:val="top"/>
          </w:tcPr>
          <w:p w14:paraId="6A9AA289">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信息化营养档案，可形成门诊报告、自动记录就诊期间的各项信息如筛查、评价、干预、监测等，并可以按需要的模块勾选，以病历形式打印；</w:t>
            </w:r>
          </w:p>
        </w:tc>
      </w:tr>
      <w:tr w14:paraId="2651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7EC1205">
            <w:pPr>
              <w:jc w:val="center"/>
              <w:rPr>
                <w:rFonts w:hint="eastAsia" w:ascii="宋体" w:hAnsi="宋体" w:eastAsia="宋体" w:cs="宋体"/>
                <w:sz w:val="24"/>
                <w:szCs w:val="24"/>
              </w:rPr>
            </w:pPr>
            <w:r>
              <w:rPr>
                <w:rFonts w:hint="eastAsia" w:ascii="宋体" w:hAnsi="宋体" w:eastAsia="宋体" w:cs="宋体"/>
                <w:sz w:val="24"/>
                <w:szCs w:val="24"/>
              </w:rPr>
              <w:t>零退费（门诊）</w:t>
            </w:r>
          </w:p>
        </w:tc>
        <w:tc>
          <w:tcPr>
            <w:tcW w:w="5450" w:type="dxa"/>
            <w:noWrap w:val="0"/>
            <w:vAlign w:val="top"/>
          </w:tcPr>
          <w:p w14:paraId="3207EA90">
            <w:pPr>
              <w:pStyle w:val="15"/>
              <w:numPr>
                <w:ilvl w:val="0"/>
                <w:numId w:val="14"/>
              </w:numPr>
              <w:ind w:firstLineChars="0"/>
              <w:rPr>
                <w:rFonts w:hint="eastAsia" w:ascii="宋体" w:hAnsi="宋体" w:eastAsia="宋体" w:cs="宋体"/>
                <w:sz w:val="24"/>
                <w:szCs w:val="24"/>
              </w:rPr>
            </w:pPr>
            <w:r>
              <w:rPr>
                <w:rFonts w:hint="eastAsia" w:ascii="宋体" w:hAnsi="宋体" w:eastAsia="宋体" w:cs="宋体"/>
                <w:sz w:val="24"/>
                <w:szCs w:val="24"/>
              </w:rPr>
              <w:t>针对领用处方，可只退部分制剂费用。</w:t>
            </w:r>
          </w:p>
        </w:tc>
      </w:tr>
      <w:tr w14:paraId="111E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B252173">
            <w:pPr>
              <w:jc w:val="center"/>
              <w:rPr>
                <w:rFonts w:hint="eastAsia" w:ascii="宋体" w:hAnsi="宋体" w:eastAsia="宋体" w:cs="宋体"/>
                <w:sz w:val="24"/>
                <w:szCs w:val="24"/>
              </w:rPr>
            </w:pPr>
            <w:r>
              <w:rPr>
                <w:rFonts w:hint="eastAsia" w:ascii="宋体" w:hAnsi="宋体" w:eastAsia="宋体" w:cs="宋体"/>
                <w:sz w:val="24"/>
                <w:szCs w:val="24"/>
              </w:rPr>
              <w:t>患者管理</w:t>
            </w:r>
          </w:p>
        </w:tc>
        <w:tc>
          <w:tcPr>
            <w:tcW w:w="5450" w:type="dxa"/>
            <w:noWrap w:val="0"/>
            <w:vAlign w:val="top"/>
          </w:tcPr>
          <w:p w14:paraId="36C4F9EF">
            <w:pPr>
              <w:ind w:left="420" w:hanging="480" w:hangingChars="200"/>
              <w:rPr>
                <w:rFonts w:hint="eastAsia" w:ascii="宋体" w:hAnsi="宋体" w:eastAsia="宋体" w:cs="宋体"/>
                <w:sz w:val="24"/>
                <w:szCs w:val="24"/>
              </w:rPr>
            </w:pPr>
            <w:r>
              <w:rPr>
                <w:rFonts w:hint="eastAsia" w:ascii="宋体" w:hAnsi="宋体" w:eastAsia="宋体" w:cs="宋体"/>
                <w:sz w:val="24"/>
                <w:szCs w:val="24"/>
              </w:rPr>
              <w:t>1.  全院在院病人列表，可查看病人信息，如入院时间、科室、床号、姓名、住院号等。</w:t>
            </w:r>
          </w:p>
          <w:p w14:paraId="68EB2C8A">
            <w:pPr>
              <w:rPr>
                <w:rFonts w:hint="eastAsia" w:ascii="宋体" w:hAnsi="宋体" w:eastAsia="宋体" w:cs="宋体"/>
                <w:sz w:val="24"/>
                <w:szCs w:val="24"/>
              </w:rPr>
            </w:pPr>
            <w:r>
              <w:rPr>
                <w:rFonts w:hint="eastAsia" w:ascii="宋体" w:hAnsi="宋体" w:eastAsia="宋体" w:cs="宋体"/>
                <w:sz w:val="24"/>
                <w:szCs w:val="24"/>
              </w:rPr>
              <w:t>2.  可设置哪些病人作为高度关注的病人，方便集中管理。</w:t>
            </w:r>
          </w:p>
          <w:p w14:paraId="29B22618">
            <w:pPr>
              <w:rPr>
                <w:rFonts w:hint="eastAsia" w:ascii="宋体" w:hAnsi="宋体" w:eastAsia="宋体" w:cs="宋体"/>
                <w:sz w:val="24"/>
                <w:szCs w:val="24"/>
              </w:rPr>
            </w:pPr>
            <w:r>
              <w:rPr>
                <w:rFonts w:hint="eastAsia" w:ascii="宋体" w:hAnsi="宋体" w:eastAsia="宋体" w:cs="宋体"/>
                <w:sz w:val="24"/>
                <w:szCs w:val="24"/>
              </w:rPr>
              <w:t>3.  可根据入院时间、科室、姓名、住院号、是否有营养风险来查询、排序特定患者。</w:t>
            </w:r>
          </w:p>
          <w:p w14:paraId="5FE7E075">
            <w:pPr>
              <w:rPr>
                <w:rFonts w:hint="eastAsia" w:ascii="宋体" w:hAnsi="宋体" w:eastAsia="宋体" w:cs="宋体"/>
                <w:sz w:val="24"/>
                <w:szCs w:val="24"/>
              </w:rPr>
            </w:pPr>
            <w:r>
              <w:rPr>
                <w:rFonts w:hint="eastAsia" w:ascii="宋体" w:hAnsi="宋体" w:eastAsia="宋体" w:cs="宋体"/>
                <w:sz w:val="24"/>
                <w:szCs w:val="24"/>
              </w:rPr>
              <w:t>4.  可设置患者标记，方便分类管理。</w:t>
            </w:r>
          </w:p>
          <w:p w14:paraId="3FE88F07">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根据不同颜色区分在院患者营养筛查完成情况及风险情况，便于快速定位患者，进行管理。</w:t>
            </w:r>
          </w:p>
          <w:p w14:paraId="12E4E7B3">
            <w:pPr>
              <w:rPr>
                <w:rFonts w:hint="eastAsia" w:ascii="宋体" w:hAnsi="宋体" w:eastAsia="宋体" w:cs="宋体"/>
                <w:sz w:val="24"/>
                <w:szCs w:val="24"/>
              </w:rPr>
            </w:pPr>
            <w:r>
              <w:rPr>
                <w:rFonts w:hint="eastAsia" w:ascii="宋体" w:hAnsi="宋体" w:eastAsia="宋体" w:cs="宋体"/>
                <w:sz w:val="24"/>
                <w:szCs w:val="24"/>
              </w:rPr>
              <w:t>6.   可查询出院患者及历次出入院记录。</w:t>
            </w:r>
          </w:p>
        </w:tc>
      </w:tr>
      <w:tr w14:paraId="31CA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3727526">
            <w:pPr>
              <w:jc w:val="center"/>
              <w:rPr>
                <w:rFonts w:hint="eastAsia" w:ascii="宋体" w:hAnsi="宋体" w:eastAsia="宋体" w:cs="宋体"/>
                <w:sz w:val="24"/>
                <w:szCs w:val="24"/>
              </w:rPr>
            </w:pPr>
            <w:r>
              <w:rPr>
                <w:rFonts w:hint="eastAsia" w:ascii="宋体" w:hAnsi="宋体" w:eastAsia="宋体" w:cs="宋体"/>
                <w:sz w:val="24"/>
                <w:szCs w:val="24"/>
              </w:rPr>
              <w:t>会诊管理</w:t>
            </w:r>
          </w:p>
        </w:tc>
        <w:tc>
          <w:tcPr>
            <w:tcW w:w="5450" w:type="dxa"/>
            <w:noWrap w:val="0"/>
            <w:vAlign w:val="top"/>
          </w:tcPr>
          <w:p w14:paraId="308E1FB0">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可与院内系统完成对接，读取营养会诊指令，集中化查看会诊指令，根据会诊情况填写会诊意见。</w:t>
            </w:r>
          </w:p>
          <w:p w14:paraId="1DF462F6">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会诊结束可生成系统标准的营养会诊报告。</w:t>
            </w:r>
          </w:p>
          <w:p w14:paraId="5293798B">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可根据条件查询会诊病人，查看会诊状态及会诊报告。</w:t>
            </w:r>
          </w:p>
          <w:p w14:paraId="2D8D9980">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针对临床科室筛查有风险患者可通知主管医生及临床营养科，提醒主管医生向营养科发起会诊。</w:t>
            </w:r>
          </w:p>
        </w:tc>
      </w:tr>
      <w:tr w14:paraId="117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9BC1AE">
            <w:pPr>
              <w:jc w:val="center"/>
              <w:rPr>
                <w:rFonts w:hint="eastAsia" w:ascii="宋体" w:hAnsi="宋体" w:eastAsia="宋体" w:cs="宋体"/>
                <w:sz w:val="24"/>
                <w:szCs w:val="24"/>
              </w:rPr>
            </w:pPr>
            <w:r>
              <w:rPr>
                <w:rFonts w:hint="eastAsia" w:ascii="宋体" w:hAnsi="宋体" w:eastAsia="宋体" w:cs="宋体"/>
                <w:sz w:val="24"/>
                <w:szCs w:val="24"/>
              </w:rPr>
              <w:t>筛评监控</w:t>
            </w:r>
          </w:p>
        </w:tc>
        <w:tc>
          <w:tcPr>
            <w:tcW w:w="5450" w:type="dxa"/>
            <w:noWrap w:val="0"/>
            <w:vAlign w:val="top"/>
          </w:tcPr>
          <w:p w14:paraId="583E0DCB">
            <w:pPr>
              <w:pStyle w:val="15"/>
              <w:numPr>
                <w:ilvl w:val="0"/>
                <w:numId w:val="16"/>
              </w:numPr>
              <w:ind w:firstLineChars="0"/>
              <w:rPr>
                <w:rFonts w:hint="eastAsia" w:ascii="宋体" w:hAnsi="宋体" w:eastAsia="宋体" w:cs="宋体"/>
                <w:sz w:val="24"/>
                <w:szCs w:val="24"/>
              </w:rPr>
            </w:pPr>
            <w:r>
              <w:rPr>
                <w:rFonts w:hint="eastAsia" w:ascii="宋体" w:hAnsi="宋体" w:eastAsia="宋体" w:cs="宋体"/>
                <w:sz w:val="24"/>
                <w:szCs w:val="24"/>
              </w:rPr>
              <w:t>可查看全院患者筛评记录及对应的筛评结果。</w:t>
            </w:r>
          </w:p>
          <w:p w14:paraId="3B8708DD">
            <w:pPr>
              <w:pStyle w:val="15"/>
              <w:numPr>
                <w:ilvl w:val="0"/>
                <w:numId w:val="16"/>
              </w:numPr>
              <w:ind w:firstLineChars="0"/>
              <w:rPr>
                <w:rFonts w:hint="eastAsia" w:ascii="宋体" w:hAnsi="宋体" w:eastAsia="宋体" w:cs="宋体"/>
                <w:sz w:val="24"/>
                <w:szCs w:val="24"/>
              </w:rPr>
            </w:pPr>
            <w:r>
              <w:rPr>
                <w:rFonts w:hint="eastAsia" w:ascii="宋体" w:hAnsi="宋体" w:eastAsia="宋体" w:cs="宋体"/>
                <w:sz w:val="24"/>
                <w:szCs w:val="24"/>
              </w:rPr>
              <w:t>可按多种条件查询对应的患者群体及其筛评结果，可以按筛评时间或筛评得分进行排序查看。</w:t>
            </w:r>
          </w:p>
        </w:tc>
      </w:tr>
      <w:tr w14:paraId="7E50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5718948">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营养查房</w:t>
            </w:r>
          </w:p>
        </w:tc>
        <w:tc>
          <w:tcPr>
            <w:tcW w:w="5450" w:type="dxa"/>
            <w:noWrap w:val="0"/>
            <w:vAlign w:val="top"/>
          </w:tcPr>
          <w:p w14:paraId="1DE96963">
            <w:pPr>
              <w:pStyle w:val="15"/>
              <w:numPr>
                <w:ilvl w:val="0"/>
                <w:numId w:val="17"/>
              </w:numPr>
              <w:ind w:firstLineChars="0"/>
              <w:rPr>
                <w:rFonts w:hint="eastAsia" w:ascii="宋体" w:hAnsi="宋体" w:eastAsia="宋体" w:cs="宋体"/>
                <w:sz w:val="24"/>
                <w:szCs w:val="24"/>
              </w:rPr>
            </w:pPr>
            <w:r>
              <w:rPr>
                <w:rFonts w:hint="eastAsia" w:ascii="宋体" w:hAnsi="宋体" w:eastAsia="宋体" w:cs="宋体"/>
                <w:sz w:val="24"/>
                <w:szCs w:val="24"/>
              </w:rPr>
              <w:t>根据在院患者每日生成查房任务，可在查房清单内查看患者查房情况及营养治疗记录，并可书写查房记录；</w:t>
            </w:r>
          </w:p>
          <w:p w14:paraId="7E712E4A">
            <w:pPr>
              <w:pStyle w:val="15"/>
              <w:numPr>
                <w:ilvl w:val="0"/>
                <w:numId w:val="17"/>
              </w:numPr>
              <w:ind w:firstLineChars="0"/>
              <w:rPr>
                <w:rFonts w:hint="eastAsia" w:ascii="宋体" w:hAnsi="宋体" w:eastAsia="宋体" w:cs="宋体"/>
                <w:sz w:val="24"/>
                <w:szCs w:val="24"/>
              </w:rPr>
            </w:pPr>
            <w:r>
              <w:rPr>
                <w:rFonts w:hint="eastAsia" w:ascii="宋体" w:hAnsi="宋体" w:eastAsia="宋体" w:cs="宋体"/>
                <w:sz w:val="24"/>
                <w:szCs w:val="24"/>
              </w:rPr>
              <w:t>可查看查房历史，统计患者的查房情况。</w:t>
            </w:r>
          </w:p>
        </w:tc>
      </w:tr>
      <w:tr w14:paraId="375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B60882F">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营养素推荐</w:t>
            </w:r>
          </w:p>
        </w:tc>
        <w:tc>
          <w:tcPr>
            <w:tcW w:w="5450" w:type="dxa"/>
            <w:noWrap w:val="0"/>
            <w:vAlign w:val="top"/>
          </w:tcPr>
          <w:p w14:paraId="680FAE4D">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系统可根据患者病情、筛查评估结果自动给出患者营养素摄入目标量推荐，并可按系数方式或蛋白/体重方式手动修改患者营养目标。</w:t>
            </w:r>
          </w:p>
        </w:tc>
      </w:tr>
      <w:tr w14:paraId="39BF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212F5BC">
            <w:pPr>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肠内营养（住院）</w:t>
            </w:r>
          </w:p>
        </w:tc>
        <w:tc>
          <w:tcPr>
            <w:tcW w:w="5450" w:type="dxa"/>
            <w:noWrap w:val="0"/>
            <w:vAlign w:val="top"/>
          </w:tcPr>
          <w:p w14:paraId="01CB642E">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可根据患者病种、营养摄入情况，系统自动筛选处方模板；</w:t>
            </w:r>
          </w:p>
          <w:p w14:paraId="191CB1DD">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可根据患者实际信息，自动计算患者所需能量、营养素量，开具处方选择流入方式（配制、领用）、干预天数、以及对应产品后可自动计算实际能量、营养素含量；</w:t>
            </w:r>
          </w:p>
          <w:p w14:paraId="534DAB7B">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可选择产品的单位（支持选择最小单位如毫升、克等），填写数量等；</w:t>
            </w:r>
          </w:p>
          <w:p w14:paraId="433DC13B">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可根据时间添加、修改、填写配制说明，并可填写液量信息；</w:t>
            </w:r>
          </w:p>
          <w:p w14:paraId="563E3B04">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可开具长期医嘱，按给定的规则每日循环执行扣费；</w:t>
            </w:r>
          </w:p>
          <w:p w14:paraId="5F0C778F">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处方模板：预置糖尿病、乳腺癌、胃癌、肾病等不同档次能量的现成模板，可选择后自行修改使用，也可按需求自建模板；</w:t>
            </w:r>
          </w:p>
          <w:p w14:paraId="231C2498">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可打印标准化处方单；</w:t>
            </w:r>
          </w:p>
        </w:tc>
      </w:tr>
      <w:tr w14:paraId="1E35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733883">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营养宣教</w:t>
            </w:r>
          </w:p>
        </w:tc>
        <w:tc>
          <w:tcPr>
            <w:tcW w:w="5450" w:type="dxa"/>
            <w:noWrap w:val="0"/>
            <w:vAlign w:val="top"/>
          </w:tcPr>
          <w:p w14:paraId="52D3BE9B">
            <w:pPr>
              <w:pStyle w:val="15"/>
              <w:numPr>
                <w:ilvl w:val="0"/>
                <w:numId w:val="19"/>
              </w:numPr>
              <w:ind w:firstLineChars="0"/>
              <w:rPr>
                <w:rFonts w:hint="eastAsia" w:ascii="宋体" w:hAnsi="宋体" w:eastAsia="宋体" w:cs="宋体"/>
                <w:sz w:val="24"/>
                <w:szCs w:val="24"/>
              </w:rPr>
            </w:pPr>
            <w:r>
              <w:rPr>
                <w:rFonts w:hint="eastAsia" w:ascii="宋体" w:hAnsi="宋体" w:eastAsia="宋体" w:cs="宋体"/>
                <w:sz w:val="24"/>
                <w:szCs w:val="24"/>
              </w:rPr>
              <w:t>可根据不同的类型，选择适合的宣教内容，形成医嘱单，开具并打印给患者，患者通过扫描医嘱单上二维码，进入小程序查看相关宣教内容。系统自带宣教，也可按需自行添加宣教内容；</w:t>
            </w:r>
          </w:p>
        </w:tc>
      </w:tr>
      <w:tr w14:paraId="7CEA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1C840B">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肠外营养</w:t>
            </w:r>
          </w:p>
        </w:tc>
        <w:tc>
          <w:tcPr>
            <w:tcW w:w="5450" w:type="dxa"/>
            <w:noWrap w:val="0"/>
            <w:vAlign w:val="top"/>
          </w:tcPr>
          <w:p w14:paraId="153C2B3E">
            <w:pPr>
              <w:pStyle w:val="15"/>
              <w:numPr>
                <w:ilvl w:val="0"/>
                <w:numId w:val="20"/>
              </w:numPr>
              <w:ind w:firstLineChars="0"/>
              <w:rPr>
                <w:rFonts w:hint="eastAsia" w:ascii="宋体" w:hAnsi="宋体" w:eastAsia="宋体" w:cs="宋体"/>
                <w:sz w:val="24"/>
                <w:szCs w:val="24"/>
              </w:rPr>
            </w:pPr>
            <w:r>
              <w:rPr>
                <w:rFonts w:hint="eastAsia" w:ascii="宋体" w:hAnsi="宋体" w:eastAsia="宋体" w:cs="宋体"/>
                <w:sz w:val="24"/>
                <w:szCs w:val="24"/>
              </w:rPr>
              <w:t>系统内置标准肠外用药药品库，可选择患者实际肠外用药情况，自动计算肠外营养素、能量、渗透压、热氮比、糖脂比等信息；</w:t>
            </w:r>
          </w:p>
          <w:p w14:paraId="7F10397C">
            <w:pPr>
              <w:pStyle w:val="15"/>
              <w:numPr>
                <w:ilvl w:val="0"/>
                <w:numId w:val="20"/>
              </w:numPr>
              <w:ind w:firstLineChars="0"/>
              <w:rPr>
                <w:rFonts w:hint="eastAsia" w:ascii="宋体" w:hAnsi="宋体" w:eastAsia="宋体" w:cs="宋体"/>
                <w:sz w:val="24"/>
                <w:szCs w:val="24"/>
              </w:rPr>
            </w:pPr>
            <w:r>
              <w:rPr>
                <w:rFonts w:hint="eastAsia" w:ascii="宋体" w:hAnsi="宋体" w:eastAsia="宋体" w:cs="宋体"/>
                <w:sz w:val="24"/>
                <w:szCs w:val="24"/>
              </w:rPr>
              <w:t>药品库可按医院实际情况修改、添加，或变更营养成分含量、信息。</w:t>
            </w:r>
          </w:p>
        </w:tc>
      </w:tr>
      <w:tr w14:paraId="5588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A48E43F">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营养监测</w:t>
            </w:r>
          </w:p>
        </w:tc>
        <w:tc>
          <w:tcPr>
            <w:tcW w:w="5450" w:type="dxa"/>
            <w:noWrap w:val="0"/>
            <w:vAlign w:val="top"/>
          </w:tcPr>
          <w:p w14:paraId="341D9F7D">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可与医院LIS系统对接，读取患者指定的生化检验结果</w:t>
            </w:r>
          </w:p>
          <w:p w14:paraId="534F2033">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可监测患者各项生化指标，系统自动生成监测历史图示。</w:t>
            </w:r>
          </w:p>
          <w:p w14:paraId="08F599C0">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支持自定义该患者哪几个指标作为重点关注而显示到界面中。</w:t>
            </w:r>
          </w:p>
        </w:tc>
      </w:tr>
      <w:tr w14:paraId="2CE2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0D1C5A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病程记录</w:t>
            </w:r>
          </w:p>
        </w:tc>
        <w:tc>
          <w:tcPr>
            <w:tcW w:w="5450" w:type="dxa"/>
            <w:noWrap w:val="0"/>
            <w:vAlign w:val="top"/>
          </w:tcPr>
          <w:p w14:paraId="02EF7821">
            <w:pPr>
              <w:pStyle w:val="15"/>
              <w:numPr>
                <w:ilvl w:val="0"/>
                <w:numId w:val="22"/>
              </w:numPr>
              <w:ind w:firstLineChars="0"/>
              <w:rPr>
                <w:rFonts w:hint="eastAsia" w:ascii="宋体" w:hAnsi="宋体" w:eastAsia="宋体" w:cs="宋体"/>
                <w:sz w:val="24"/>
                <w:szCs w:val="24"/>
              </w:rPr>
            </w:pPr>
            <w:r>
              <w:rPr>
                <w:rFonts w:hint="eastAsia" w:ascii="宋体" w:hAnsi="宋体" w:eastAsia="宋体" w:cs="宋体"/>
                <w:color w:val="000000"/>
                <w:sz w:val="24"/>
                <w:szCs w:val="24"/>
              </w:rPr>
              <w:t>可按类型作不同记录，如首次病程记录、日常记录、小结等，并可形成模板，按需求自建使用；</w:t>
            </w:r>
          </w:p>
        </w:tc>
      </w:tr>
      <w:tr w14:paraId="58A5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D4B483D">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营养档案</w:t>
            </w:r>
          </w:p>
        </w:tc>
        <w:tc>
          <w:tcPr>
            <w:tcW w:w="5450" w:type="dxa"/>
            <w:noWrap w:val="0"/>
            <w:vAlign w:val="top"/>
          </w:tcPr>
          <w:p w14:paraId="7C435EFC">
            <w:pPr>
              <w:pStyle w:val="15"/>
              <w:numPr>
                <w:ilvl w:val="0"/>
                <w:numId w:val="2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信息化营养档案，自动生成营养病历，记录就诊期间的各项信息如筛查、评价、干预、监测等，并可以按需要的模块勾选，以病历形式打印；</w:t>
            </w:r>
          </w:p>
        </w:tc>
      </w:tr>
      <w:tr w14:paraId="787C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FE366A">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预缴费</w:t>
            </w:r>
          </w:p>
        </w:tc>
        <w:tc>
          <w:tcPr>
            <w:tcW w:w="5450" w:type="dxa"/>
            <w:noWrap w:val="0"/>
            <w:vAlign w:val="top"/>
          </w:tcPr>
          <w:p w14:paraId="1B1B8199">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可按固定值或自定义缴费金额进行缴费，开具处方自动扣除，并打印预缴费单；</w:t>
            </w:r>
          </w:p>
          <w:p w14:paraId="07B4A38D">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可打印知情同意书。</w:t>
            </w:r>
          </w:p>
        </w:tc>
      </w:tr>
      <w:tr w14:paraId="2AF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57A203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缴费方式</w:t>
            </w:r>
          </w:p>
        </w:tc>
        <w:tc>
          <w:tcPr>
            <w:tcW w:w="5450" w:type="dxa"/>
            <w:noWrap w:val="0"/>
            <w:vAlign w:val="top"/>
          </w:tcPr>
          <w:p w14:paraId="71585E5D">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sz w:val="24"/>
                <w:szCs w:val="24"/>
              </w:rPr>
              <w:t>支持处方扫码线上缴费（支付宝、微信、银联等）</w:t>
            </w:r>
          </w:p>
          <w:p w14:paraId="1338A4EB">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支持线下收费</w:t>
            </w:r>
          </w:p>
          <w:p w14:paraId="5863592C">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可手动进行订单退费</w:t>
            </w:r>
          </w:p>
        </w:tc>
      </w:tr>
      <w:tr w14:paraId="189A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24427FB">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开票记录</w:t>
            </w:r>
          </w:p>
        </w:tc>
        <w:tc>
          <w:tcPr>
            <w:tcW w:w="5450" w:type="dxa"/>
            <w:noWrap w:val="0"/>
            <w:vAlign w:val="top"/>
          </w:tcPr>
          <w:p w14:paraId="5BFF03B7">
            <w:pPr>
              <w:pStyle w:val="15"/>
              <w:numPr>
                <w:ilvl w:val="0"/>
                <w:numId w:val="25"/>
              </w:numPr>
              <w:ind w:firstLineChars="0"/>
              <w:rPr>
                <w:rFonts w:hint="eastAsia" w:ascii="宋体" w:hAnsi="宋体" w:eastAsia="宋体" w:cs="宋体"/>
                <w:sz w:val="24"/>
                <w:szCs w:val="24"/>
              </w:rPr>
            </w:pPr>
            <w:r>
              <w:rPr>
                <w:rFonts w:hint="eastAsia" w:ascii="宋体" w:hAnsi="宋体" w:eastAsia="宋体" w:cs="宋体"/>
                <w:color w:val="000000"/>
                <w:sz w:val="24"/>
                <w:szCs w:val="24"/>
              </w:rPr>
              <w:t>线上缴费支持发票打印，打印失败可手动重开。</w:t>
            </w:r>
          </w:p>
        </w:tc>
      </w:tr>
      <w:tr w14:paraId="25D9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300502F">
            <w:pPr>
              <w:ind w:leftChars="-10" w:hanging="24" w:hangingChars="10"/>
              <w:jc w:val="center"/>
              <w:rPr>
                <w:rFonts w:hint="eastAsia" w:ascii="宋体" w:hAnsi="宋体" w:eastAsia="宋体" w:cs="宋体"/>
                <w:sz w:val="24"/>
                <w:szCs w:val="24"/>
              </w:rPr>
            </w:pPr>
            <w:r>
              <w:rPr>
                <w:rFonts w:hint="eastAsia" w:ascii="宋体" w:hAnsi="宋体" w:eastAsia="宋体" w:cs="宋体"/>
                <w:sz w:val="24"/>
                <w:szCs w:val="24"/>
              </w:rPr>
              <w:t>零退费</w:t>
            </w:r>
          </w:p>
        </w:tc>
        <w:tc>
          <w:tcPr>
            <w:tcW w:w="5450" w:type="dxa"/>
            <w:noWrap w:val="0"/>
            <w:vAlign w:val="top"/>
          </w:tcPr>
          <w:p w14:paraId="497B7D6E">
            <w:pPr>
              <w:pStyle w:val="15"/>
              <w:numPr>
                <w:ilvl w:val="0"/>
                <w:numId w:val="2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针对配制及领用处方，可按天数或小包装单位部分退费。</w:t>
            </w:r>
          </w:p>
        </w:tc>
      </w:tr>
      <w:tr w14:paraId="6779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35FD21C">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质控数据</w:t>
            </w:r>
          </w:p>
        </w:tc>
        <w:tc>
          <w:tcPr>
            <w:tcW w:w="5450" w:type="dxa"/>
            <w:noWrap w:val="0"/>
            <w:vAlign w:val="top"/>
          </w:tcPr>
          <w:p w14:paraId="0EA6D66D">
            <w:pPr>
              <w:pStyle w:val="15"/>
              <w:numPr>
                <w:ilvl w:val="0"/>
                <w:numId w:val="2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按科室、时间范围，动态展示相应条件下的各种营养质控数据及其图表，如病例数、筛查数、评价数、干预数、普通膳食营养数、调整营养素膳食营养数等，形成环状图、柱状图及曲线趋势图，便于质控数据填报及质控情况监督；</w:t>
            </w:r>
          </w:p>
        </w:tc>
      </w:tr>
      <w:tr w14:paraId="70EC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22E26C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干预数据</w:t>
            </w:r>
          </w:p>
        </w:tc>
        <w:tc>
          <w:tcPr>
            <w:tcW w:w="5450" w:type="dxa"/>
            <w:noWrap w:val="0"/>
            <w:vAlign w:val="top"/>
          </w:tcPr>
          <w:p w14:paraId="38FCE7DC">
            <w:pPr>
              <w:pStyle w:val="15"/>
              <w:numPr>
                <w:ilvl w:val="0"/>
                <w:numId w:val="28"/>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可按科室、按时间范围或按年龄段等查看营养干预医嘱统计情况，包括处方执行状态、缴费状态等；</w:t>
            </w:r>
          </w:p>
        </w:tc>
      </w:tr>
      <w:tr w14:paraId="7AA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C93633">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科室数据</w:t>
            </w:r>
          </w:p>
        </w:tc>
        <w:tc>
          <w:tcPr>
            <w:tcW w:w="5450" w:type="dxa"/>
            <w:noWrap w:val="0"/>
            <w:vAlign w:val="top"/>
          </w:tcPr>
          <w:p w14:paraId="33075B14">
            <w:pPr>
              <w:pStyle w:val="15"/>
              <w:numPr>
                <w:ilvl w:val="0"/>
                <w:numId w:val="2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可按科室、按时间范围查看医院不同院区各科室的营养诊疗执行情况，如筛查率、干预率、医生干预率、营养科干预率等数据统计；</w:t>
            </w:r>
          </w:p>
        </w:tc>
      </w:tr>
      <w:tr w14:paraId="269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DD12D0E">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医生数据</w:t>
            </w:r>
          </w:p>
        </w:tc>
        <w:tc>
          <w:tcPr>
            <w:tcW w:w="5450" w:type="dxa"/>
            <w:noWrap w:val="0"/>
            <w:vAlign w:val="top"/>
          </w:tcPr>
          <w:p w14:paraId="412C96AA">
            <w:pPr>
              <w:pStyle w:val="15"/>
              <w:numPr>
                <w:ilvl w:val="0"/>
                <w:numId w:val="3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可按科室、医师姓名、按时间范围查看医院医师营养诊疗执行情况，如筛查率、干预率、医生干预率、营养科干预率等数据统计。</w:t>
            </w:r>
          </w:p>
        </w:tc>
      </w:tr>
      <w:tr w14:paraId="596A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C903883">
            <w:pPr>
              <w:ind w:leftChars="-1" w:hanging="2"/>
              <w:jc w:val="center"/>
              <w:rPr>
                <w:rFonts w:hint="eastAsia" w:ascii="宋体" w:hAnsi="宋体" w:eastAsia="宋体" w:cs="宋体"/>
                <w:sz w:val="24"/>
                <w:szCs w:val="24"/>
              </w:rPr>
            </w:pPr>
            <w:r>
              <w:rPr>
                <w:rFonts w:hint="eastAsia" w:ascii="宋体" w:hAnsi="宋体" w:eastAsia="宋体" w:cs="宋体"/>
                <w:sz w:val="24"/>
                <w:szCs w:val="24"/>
              </w:rPr>
              <w:t>肠内医嘱查询</w:t>
            </w:r>
          </w:p>
        </w:tc>
        <w:tc>
          <w:tcPr>
            <w:tcW w:w="5450" w:type="dxa"/>
            <w:noWrap w:val="0"/>
            <w:vAlign w:val="top"/>
          </w:tcPr>
          <w:p w14:paraId="42247AE3">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可查询本人开具的肠内医嘱。</w:t>
            </w:r>
          </w:p>
          <w:p w14:paraId="266C440A">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可查询本科室开具的肠内医嘱。</w:t>
            </w:r>
          </w:p>
          <w:p w14:paraId="5DE0ED05">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可查询全院开具的肠内医嘱。</w:t>
            </w:r>
          </w:p>
        </w:tc>
      </w:tr>
      <w:tr w14:paraId="5FB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A41EEC">
            <w:pPr>
              <w:ind w:leftChars="-1" w:hanging="2"/>
              <w:jc w:val="center"/>
              <w:rPr>
                <w:rFonts w:hint="eastAsia" w:ascii="宋体" w:hAnsi="宋体" w:eastAsia="宋体" w:cs="宋体"/>
                <w:sz w:val="24"/>
                <w:szCs w:val="24"/>
              </w:rPr>
            </w:pPr>
            <w:r>
              <w:rPr>
                <w:rFonts w:hint="eastAsia" w:ascii="宋体" w:hAnsi="宋体" w:eastAsia="宋体" w:cs="宋体"/>
                <w:sz w:val="24"/>
                <w:szCs w:val="24"/>
              </w:rPr>
              <w:t>领用任务及历史</w:t>
            </w:r>
          </w:p>
        </w:tc>
        <w:tc>
          <w:tcPr>
            <w:tcW w:w="5450" w:type="dxa"/>
            <w:noWrap w:val="0"/>
            <w:vAlign w:val="top"/>
          </w:tcPr>
          <w:p w14:paraId="67872180">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可对已缴费的领用类型的肠内营养医嘱进行发货，记录，并可打印相应使用说明、标签；</w:t>
            </w:r>
          </w:p>
          <w:p w14:paraId="411739C7">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可查看全部领用任务，包括过往记录；</w:t>
            </w:r>
          </w:p>
          <w:p w14:paraId="7EDA236F">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可对退费的领用医嘱做退货操作；</w:t>
            </w:r>
          </w:p>
          <w:p w14:paraId="16F46032">
            <w:pPr>
              <w:pStyle w:val="15"/>
              <w:numPr>
                <w:ilvl w:val="0"/>
                <w:numId w:val="32"/>
              </w:numPr>
              <w:ind w:firstLineChars="0"/>
              <w:rPr>
                <w:rFonts w:hint="eastAsia" w:ascii="宋体" w:hAnsi="宋体" w:eastAsia="宋体" w:cs="宋体"/>
                <w:color w:val="000000"/>
                <w:sz w:val="24"/>
                <w:szCs w:val="24"/>
              </w:rPr>
            </w:pPr>
            <w:r>
              <w:rPr>
                <w:rFonts w:hint="eastAsia" w:ascii="宋体" w:hAnsi="宋体" w:eastAsia="宋体" w:cs="宋体"/>
                <w:sz w:val="24"/>
                <w:szCs w:val="24"/>
              </w:rPr>
              <w:t>已退货的领用医嘱可重新发货。</w:t>
            </w:r>
          </w:p>
        </w:tc>
      </w:tr>
      <w:tr w14:paraId="4C65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6F9AF72">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配制任务</w:t>
            </w:r>
          </w:p>
        </w:tc>
        <w:tc>
          <w:tcPr>
            <w:tcW w:w="5450" w:type="dxa"/>
            <w:noWrap w:val="0"/>
            <w:vAlign w:val="top"/>
          </w:tcPr>
          <w:p w14:paraId="134F5598">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完成缴费的肠内配制单形成配制任务传达到配制室人员系统，可进行肠内营养制剂的配制；</w:t>
            </w:r>
          </w:p>
          <w:p w14:paraId="785DC8E3">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可批量打印配制单、瓶贴；</w:t>
            </w:r>
          </w:p>
          <w:p w14:paraId="02816AD5">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可打印肠内配送单、领料单，便于制剂配送人员快速定位，开展工作；</w:t>
            </w:r>
          </w:p>
          <w:p w14:paraId="5EC4CEFB">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可查看各配置任务缴费时间、按缴费时间排序，按多条件如患者姓名、处方号、执行时间等进行筛选搜索。</w:t>
            </w:r>
          </w:p>
        </w:tc>
      </w:tr>
      <w:tr w14:paraId="76BF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A9D2514">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配制历史</w:t>
            </w:r>
          </w:p>
        </w:tc>
        <w:tc>
          <w:tcPr>
            <w:tcW w:w="5450" w:type="dxa"/>
            <w:noWrap w:val="0"/>
            <w:vAlign w:val="top"/>
          </w:tcPr>
          <w:p w14:paraId="19789510">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可查看全部配制任务，包括过往记录；</w:t>
            </w:r>
          </w:p>
          <w:p w14:paraId="31EC214D">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可对配制中途的配制医嘱做停止退费处理。</w:t>
            </w:r>
          </w:p>
          <w:p w14:paraId="78C18B08">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可对已完成的配制任务进行时间段内的配制历史打印。</w:t>
            </w:r>
          </w:p>
        </w:tc>
      </w:tr>
      <w:tr w14:paraId="603E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E71A8F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仓库管理</w:t>
            </w:r>
          </w:p>
        </w:tc>
        <w:tc>
          <w:tcPr>
            <w:tcW w:w="5450" w:type="dxa"/>
            <w:noWrap w:val="0"/>
            <w:vAlign w:val="top"/>
          </w:tcPr>
          <w:p w14:paraId="3050EAA3">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可建立仓库并指定相应仓库管理员。</w:t>
            </w:r>
          </w:p>
          <w:p w14:paraId="08F45CFB">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可按科室建立分库，由总库调拨。</w:t>
            </w:r>
          </w:p>
          <w:p w14:paraId="1DE1A7D9">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采购到货后可短信通知。</w:t>
            </w:r>
          </w:p>
        </w:tc>
      </w:tr>
      <w:tr w14:paraId="231E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2D73454">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库存列表</w:t>
            </w:r>
          </w:p>
        </w:tc>
        <w:tc>
          <w:tcPr>
            <w:tcW w:w="5450" w:type="dxa"/>
            <w:noWrap w:val="0"/>
            <w:vAlign w:val="top"/>
          </w:tcPr>
          <w:p w14:paraId="0688943F">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可查看现有库存的总体数量。</w:t>
            </w:r>
          </w:p>
          <w:p w14:paraId="16BE9CC7">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可按仓库查看不同库存数量。</w:t>
            </w:r>
          </w:p>
          <w:p w14:paraId="4259673F">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可详细查看某产品的库存详情，包括批号、有效期、折算数量、入库时间、入库单据号等。</w:t>
            </w:r>
          </w:p>
        </w:tc>
      </w:tr>
      <w:tr w14:paraId="753B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FEB2EC6">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仓库报表</w:t>
            </w:r>
          </w:p>
        </w:tc>
        <w:tc>
          <w:tcPr>
            <w:tcW w:w="5450" w:type="dxa"/>
            <w:noWrap w:val="0"/>
            <w:vAlign w:val="top"/>
          </w:tcPr>
          <w:p w14:paraId="5C13235A">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可查看入库明细报表，包含入库数量、产品名、单据号等，并可导出、打印。</w:t>
            </w:r>
          </w:p>
          <w:p w14:paraId="478E02EA">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可查看出库明细报表，包含出库数量、产品名、单据号等，并可导出、打印。</w:t>
            </w:r>
          </w:p>
          <w:p w14:paraId="0668E1BE">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可按时间查看库存详细进销存情况，并以折算形式展示。</w:t>
            </w:r>
          </w:p>
          <w:p w14:paraId="7083B0BF">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可按月查看每月月底库存记录。</w:t>
            </w:r>
          </w:p>
        </w:tc>
      </w:tr>
      <w:tr w14:paraId="7098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18F795A">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库存盘点</w:t>
            </w:r>
          </w:p>
        </w:tc>
        <w:tc>
          <w:tcPr>
            <w:tcW w:w="5450" w:type="dxa"/>
            <w:noWrap w:val="0"/>
            <w:vAlign w:val="top"/>
          </w:tcPr>
          <w:p w14:paraId="010805BF">
            <w:pPr>
              <w:pStyle w:val="15"/>
              <w:numPr>
                <w:ilvl w:val="0"/>
                <w:numId w:val="38"/>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可针对医院不同仓库发起大型库存盘点，也可只针对部分商品执行报损、报溢操作。</w:t>
            </w:r>
          </w:p>
        </w:tc>
      </w:tr>
      <w:tr w14:paraId="19F4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7116AD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采购管理</w:t>
            </w:r>
          </w:p>
        </w:tc>
        <w:tc>
          <w:tcPr>
            <w:tcW w:w="5450" w:type="dxa"/>
            <w:noWrap w:val="0"/>
            <w:vAlign w:val="top"/>
          </w:tcPr>
          <w:p w14:paraId="45AC764E">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可发起线上采购，走采购、发货、签收流程，完成产品入库，并可打印相应采购单。</w:t>
            </w:r>
          </w:p>
          <w:p w14:paraId="0DBE164C">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可直接入库对应产品，并可打印采购入库单。</w:t>
            </w:r>
          </w:p>
          <w:p w14:paraId="017BB0C0">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可线上完成采购退货，实现库存退出。</w:t>
            </w:r>
          </w:p>
        </w:tc>
      </w:tr>
      <w:tr w14:paraId="5CA9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0D5A0BE">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制剂管理</w:t>
            </w:r>
          </w:p>
        </w:tc>
        <w:tc>
          <w:tcPr>
            <w:tcW w:w="5450" w:type="dxa"/>
            <w:noWrap w:val="0"/>
            <w:vAlign w:val="top"/>
          </w:tcPr>
          <w:p w14:paraId="2A06A7D4">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可维护各类特医食品、耗材等商品信息，包括商品分类、通用名、每100g营养成分、规格等关键信息。</w:t>
            </w:r>
          </w:p>
          <w:p w14:paraId="7734948E">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可维护厂家信息、分类信息、通用名信息。</w:t>
            </w:r>
          </w:p>
          <w:p w14:paraId="7E0A2BBB">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可针对不同商品设置采购价与销售价。</w:t>
            </w:r>
          </w:p>
        </w:tc>
      </w:tr>
      <w:tr w14:paraId="31BC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F78E839">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供货商管理</w:t>
            </w:r>
          </w:p>
        </w:tc>
        <w:tc>
          <w:tcPr>
            <w:tcW w:w="5450" w:type="dxa"/>
            <w:noWrap w:val="0"/>
            <w:vAlign w:val="top"/>
          </w:tcPr>
          <w:p w14:paraId="33875819">
            <w:pPr>
              <w:pStyle w:val="15"/>
              <w:numPr>
                <w:ilvl w:val="0"/>
                <w:numId w:val="4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可维护各特医食品供货商信息。</w:t>
            </w:r>
          </w:p>
          <w:p w14:paraId="6D09F038">
            <w:pPr>
              <w:pStyle w:val="15"/>
              <w:numPr>
                <w:ilvl w:val="0"/>
                <w:numId w:val="4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可针对不同供货商设置合作关系，商品授权列表。</w:t>
            </w:r>
          </w:p>
        </w:tc>
      </w:tr>
      <w:tr w14:paraId="0E40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2A63E6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运营账单</w:t>
            </w:r>
          </w:p>
        </w:tc>
        <w:tc>
          <w:tcPr>
            <w:tcW w:w="5450" w:type="dxa"/>
            <w:noWrap w:val="0"/>
            <w:vAlign w:val="top"/>
          </w:tcPr>
          <w:p w14:paraId="001FB4D1">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可按日/月查看运营账单，包括总收入、线上收入及笔数、线下收入及笔数、线上线下支出、实际收入、线上收入占比数据。</w:t>
            </w:r>
          </w:p>
          <w:p w14:paraId="2997A9C6">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可按科室、医生、品牌等筛选查看商品销售情况及销售详情。</w:t>
            </w:r>
          </w:p>
          <w:p w14:paraId="74883CCA">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可按病人查看账单统计情况。</w:t>
            </w:r>
          </w:p>
          <w:p w14:paraId="6229D6B6">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可按医师查看账单统计情况。</w:t>
            </w:r>
          </w:p>
        </w:tc>
      </w:tr>
    </w:tbl>
    <w:p w14:paraId="495BE721">
      <w:pPr>
        <w:jc w:val="left"/>
        <w:rPr>
          <w:rFonts w:hint="eastAsia" w:ascii="宋体" w:hAnsi="宋体" w:eastAsia="宋体" w:cs="宋体"/>
          <w:b/>
          <w:bCs/>
          <w:sz w:val="24"/>
          <w:szCs w:val="24"/>
        </w:rPr>
      </w:pPr>
      <w:r>
        <w:rPr>
          <w:rFonts w:hint="eastAsia" w:ascii="宋体" w:hAnsi="宋体" w:eastAsia="宋体" w:cs="宋体"/>
          <w:sz w:val="32"/>
          <w:szCs w:val="32"/>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5BAB80D8">
      <w:pPr>
        <w:pStyle w:val="10"/>
        <w:ind w:left="378" w:firstLine="44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为满足临床患者营养治疗需求，肠内营养制剂供应参考目录（此目录为分类目录，投标人根据此目录将产品清单进行分类）：</w:t>
      </w:r>
    </w:p>
    <w:p w14:paraId="7F1D9CEC">
      <w:pPr>
        <w:jc w:val="center"/>
        <w:rPr>
          <w:rFonts w:hint="eastAsia" w:ascii="宋体" w:hAnsi="宋体" w:eastAsia="宋体" w:cs="宋体"/>
          <w:sz w:val="24"/>
          <w:szCs w:val="24"/>
        </w:rPr>
      </w:pPr>
      <w:r>
        <w:rPr>
          <w:rFonts w:hint="eastAsia" w:ascii="宋体" w:hAnsi="宋体" w:eastAsia="宋体" w:cs="宋体"/>
          <w:b/>
          <w:bCs/>
          <w:sz w:val="24"/>
          <w:szCs w:val="24"/>
        </w:rPr>
        <w:t>肠内营养制剂分类目录</w:t>
      </w:r>
    </w:p>
    <w:tbl>
      <w:tblPr>
        <w:tblStyle w:val="11"/>
        <w:tblW w:w="7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6797"/>
      </w:tblGrid>
      <w:tr w14:paraId="565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7" w:type="dxa"/>
            <w:noWrap w:val="0"/>
            <w:vAlign w:val="top"/>
          </w:tcPr>
          <w:p w14:paraId="5F333BC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797" w:type="dxa"/>
            <w:noWrap w:val="0"/>
            <w:vAlign w:val="top"/>
          </w:tcPr>
          <w:p w14:paraId="0630A32C">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r>
      <w:tr w14:paraId="21AB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27" w:type="dxa"/>
            <w:noWrap w:val="0"/>
            <w:vAlign w:val="center"/>
          </w:tcPr>
          <w:p w14:paraId="7E6B5B68">
            <w:pPr>
              <w:jc w:val="center"/>
              <w:rPr>
                <w:rFonts w:hint="eastAsia" w:ascii="宋体" w:hAnsi="宋体" w:eastAsia="宋体" w:cs="宋体"/>
                <w:sz w:val="24"/>
                <w:szCs w:val="24"/>
              </w:rPr>
            </w:pPr>
            <w:r>
              <w:rPr>
                <w:rFonts w:hint="eastAsia" w:ascii="宋体" w:hAnsi="宋体" w:eastAsia="宋体" w:cs="宋体"/>
                <w:sz w:val="24"/>
                <w:szCs w:val="24"/>
              </w:rPr>
              <w:t>1</w:t>
            </w:r>
          </w:p>
        </w:tc>
        <w:tc>
          <w:tcPr>
            <w:tcW w:w="6797" w:type="dxa"/>
            <w:noWrap w:val="0"/>
            <w:vAlign w:val="top"/>
          </w:tcPr>
          <w:p w14:paraId="53ABBD21">
            <w:pPr>
              <w:jc w:val="center"/>
              <w:rPr>
                <w:rFonts w:hint="eastAsia" w:ascii="宋体" w:hAnsi="宋体" w:eastAsia="宋体" w:cs="宋体"/>
                <w:sz w:val="24"/>
                <w:szCs w:val="24"/>
              </w:rPr>
            </w:pPr>
            <w:r>
              <w:rPr>
                <w:rFonts w:hint="eastAsia" w:ascii="宋体" w:hAnsi="宋体" w:eastAsia="宋体" w:cs="宋体"/>
                <w:sz w:val="24"/>
                <w:szCs w:val="24"/>
              </w:rPr>
              <w:t>特殊医学用途碳水化合物组件配方食品</w:t>
            </w:r>
          </w:p>
        </w:tc>
      </w:tr>
      <w:tr w14:paraId="148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7" w:type="dxa"/>
            <w:noWrap w:val="0"/>
            <w:vAlign w:val="center"/>
          </w:tcPr>
          <w:p w14:paraId="12A9912A">
            <w:pPr>
              <w:jc w:val="center"/>
              <w:rPr>
                <w:rFonts w:hint="eastAsia" w:ascii="宋体" w:hAnsi="宋体" w:eastAsia="宋体" w:cs="宋体"/>
                <w:sz w:val="24"/>
                <w:szCs w:val="24"/>
              </w:rPr>
            </w:pPr>
            <w:r>
              <w:rPr>
                <w:rFonts w:hint="eastAsia" w:ascii="宋体" w:hAnsi="宋体" w:eastAsia="宋体" w:cs="宋体"/>
                <w:sz w:val="24"/>
                <w:szCs w:val="24"/>
              </w:rPr>
              <w:t>2</w:t>
            </w:r>
          </w:p>
        </w:tc>
        <w:tc>
          <w:tcPr>
            <w:tcW w:w="6797" w:type="dxa"/>
            <w:noWrap w:val="0"/>
            <w:vAlign w:val="top"/>
          </w:tcPr>
          <w:p w14:paraId="40117B7D">
            <w:pPr>
              <w:jc w:val="center"/>
              <w:rPr>
                <w:rFonts w:hint="eastAsia" w:ascii="宋体" w:hAnsi="宋体" w:eastAsia="宋体" w:cs="宋体"/>
                <w:sz w:val="24"/>
                <w:szCs w:val="24"/>
              </w:rPr>
            </w:pPr>
            <w:r>
              <w:rPr>
                <w:rFonts w:hint="eastAsia" w:ascii="宋体" w:hAnsi="宋体" w:eastAsia="宋体" w:cs="宋体"/>
                <w:sz w:val="24"/>
                <w:szCs w:val="24"/>
              </w:rPr>
              <w:t>整蛋白型全营养制剂</w:t>
            </w:r>
          </w:p>
        </w:tc>
      </w:tr>
      <w:tr w14:paraId="3EA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5351E4A5">
            <w:pPr>
              <w:jc w:val="center"/>
              <w:rPr>
                <w:rFonts w:hint="eastAsia" w:ascii="宋体" w:hAnsi="宋体" w:eastAsia="宋体" w:cs="宋体"/>
                <w:sz w:val="24"/>
                <w:szCs w:val="24"/>
              </w:rPr>
            </w:pPr>
            <w:r>
              <w:rPr>
                <w:rFonts w:hint="eastAsia" w:ascii="宋体" w:hAnsi="宋体" w:eastAsia="宋体" w:cs="宋体"/>
                <w:sz w:val="24"/>
                <w:szCs w:val="24"/>
              </w:rPr>
              <w:t>3</w:t>
            </w:r>
          </w:p>
        </w:tc>
        <w:tc>
          <w:tcPr>
            <w:tcW w:w="6797" w:type="dxa"/>
            <w:noWrap w:val="0"/>
            <w:vAlign w:val="top"/>
          </w:tcPr>
          <w:p w14:paraId="6F611523">
            <w:pPr>
              <w:jc w:val="center"/>
              <w:rPr>
                <w:rFonts w:hint="eastAsia" w:ascii="宋体" w:hAnsi="宋体" w:eastAsia="宋体" w:cs="宋体"/>
                <w:sz w:val="24"/>
                <w:szCs w:val="24"/>
              </w:rPr>
            </w:pPr>
            <w:r>
              <w:rPr>
                <w:rFonts w:hint="eastAsia" w:ascii="宋体" w:hAnsi="宋体" w:eastAsia="宋体" w:cs="宋体"/>
                <w:sz w:val="24"/>
                <w:szCs w:val="24"/>
              </w:rPr>
              <w:t>短肽低脂复合营养素</w:t>
            </w:r>
          </w:p>
        </w:tc>
      </w:tr>
      <w:tr w14:paraId="0CA3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5468B06">
            <w:pPr>
              <w:jc w:val="center"/>
              <w:rPr>
                <w:rFonts w:hint="eastAsia" w:ascii="宋体" w:hAnsi="宋体" w:eastAsia="宋体" w:cs="宋体"/>
                <w:sz w:val="24"/>
                <w:szCs w:val="24"/>
              </w:rPr>
            </w:pPr>
            <w:r>
              <w:rPr>
                <w:rFonts w:hint="eastAsia" w:ascii="宋体" w:hAnsi="宋体" w:eastAsia="宋体" w:cs="宋体"/>
                <w:sz w:val="24"/>
                <w:szCs w:val="24"/>
              </w:rPr>
              <w:t>4</w:t>
            </w:r>
          </w:p>
        </w:tc>
        <w:tc>
          <w:tcPr>
            <w:tcW w:w="6797" w:type="dxa"/>
            <w:noWrap w:val="0"/>
            <w:vAlign w:val="top"/>
          </w:tcPr>
          <w:p w14:paraId="4F5523B1">
            <w:pPr>
              <w:jc w:val="center"/>
              <w:rPr>
                <w:rFonts w:hint="eastAsia" w:ascii="宋体" w:hAnsi="宋体" w:eastAsia="宋体" w:cs="宋体"/>
                <w:sz w:val="24"/>
                <w:szCs w:val="24"/>
              </w:rPr>
            </w:pPr>
            <w:r>
              <w:rPr>
                <w:rFonts w:hint="eastAsia" w:ascii="宋体" w:hAnsi="宋体" w:eastAsia="宋体" w:cs="宋体"/>
                <w:sz w:val="24"/>
                <w:szCs w:val="24"/>
              </w:rPr>
              <w:t>乳清蛋白粉</w:t>
            </w:r>
          </w:p>
        </w:tc>
      </w:tr>
      <w:tr w14:paraId="6C44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8DF4DDC">
            <w:pPr>
              <w:jc w:val="center"/>
              <w:rPr>
                <w:rFonts w:hint="eastAsia" w:ascii="宋体" w:hAnsi="宋体" w:eastAsia="宋体" w:cs="宋体"/>
                <w:sz w:val="24"/>
                <w:szCs w:val="24"/>
              </w:rPr>
            </w:pPr>
            <w:r>
              <w:rPr>
                <w:rFonts w:hint="eastAsia" w:ascii="宋体" w:hAnsi="宋体" w:eastAsia="宋体" w:cs="宋体"/>
                <w:sz w:val="24"/>
                <w:szCs w:val="24"/>
              </w:rPr>
              <w:t>5</w:t>
            </w:r>
          </w:p>
        </w:tc>
        <w:tc>
          <w:tcPr>
            <w:tcW w:w="6797" w:type="dxa"/>
            <w:noWrap w:val="0"/>
            <w:vAlign w:val="top"/>
          </w:tcPr>
          <w:p w14:paraId="04A7A003">
            <w:pPr>
              <w:jc w:val="center"/>
              <w:rPr>
                <w:rFonts w:hint="eastAsia" w:ascii="宋体" w:hAnsi="宋体" w:eastAsia="宋体" w:cs="宋体"/>
                <w:sz w:val="24"/>
                <w:szCs w:val="24"/>
              </w:rPr>
            </w:pPr>
            <w:r>
              <w:rPr>
                <w:rFonts w:hint="eastAsia" w:ascii="宋体" w:hAnsi="宋体" w:eastAsia="宋体" w:cs="宋体"/>
                <w:sz w:val="24"/>
                <w:szCs w:val="24"/>
              </w:rPr>
              <w:t>糖尿病专用低GI全营养配方食品</w:t>
            </w:r>
          </w:p>
        </w:tc>
      </w:tr>
      <w:tr w14:paraId="0ECA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4E412EAC">
            <w:pPr>
              <w:jc w:val="center"/>
              <w:rPr>
                <w:rFonts w:hint="eastAsia" w:ascii="宋体" w:hAnsi="宋体" w:eastAsia="宋体" w:cs="宋体"/>
                <w:sz w:val="24"/>
                <w:szCs w:val="24"/>
              </w:rPr>
            </w:pPr>
            <w:r>
              <w:rPr>
                <w:rFonts w:hint="eastAsia" w:ascii="宋体" w:hAnsi="宋体" w:eastAsia="宋体" w:cs="宋体"/>
                <w:sz w:val="24"/>
                <w:szCs w:val="24"/>
              </w:rPr>
              <w:t>6</w:t>
            </w:r>
          </w:p>
        </w:tc>
        <w:tc>
          <w:tcPr>
            <w:tcW w:w="6797" w:type="dxa"/>
            <w:noWrap w:val="0"/>
            <w:vAlign w:val="top"/>
          </w:tcPr>
          <w:p w14:paraId="6B8143EF">
            <w:pPr>
              <w:jc w:val="center"/>
              <w:rPr>
                <w:rFonts w:hint="eastAsia" w:ascii="宋体" w:hAnsi="宋体" w:eastAsia="宋体" w:cs="宋体"/>
                <w:sz w:val="24"/>
                <w:szCs w:val="24"/>
              </w:rPr>
            </w:pPr>
            <w:r>
              <w:rPr>
                <w:rFonts w:hint="eastAsia" w:ascii="宋体" w:hAnsi="宋体" w:eastAsia="宋体" w:cs="宋体"/>
                <w:sz w:val="24"/>
                <w:szCs w:val="24"/>
              </w:rPr>
              <w:t>匀浆膳</w:t>
            </w:r>
          </w:p>
        </w:tc>
      </w:tr>
      <w:tr w14:paraId="785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0BCF6441">
            <w:pPr>
              <w:jc w:val="center"/>
              <w:rPr>
                <w:rFonts w:hint="eastAsia" w:ascii="宋体" w:hAnsi="宋体" w:eastAsia="宋体" w:cs="宋体"/>
                <w:sz w:val="24"/>
                <w:szCs w:val="24"/>
              </w:rPr>
            </w:pPr>
            <w:r>
              <w:rPr>
                <w:rFonts w:hint="eastAsia" w:ascii="宋体" w:hAnsi="宋体" w:eastAsia="宋体" w:cs="宋体"/>
                <w:sz w:val="24"/>
                <w:szCs w:val="24"/>
              </w:rPr>
              <w:t>7</w:t>
            </w:r>
          </w:p>
        </w:tc>
        <w:tc>
          <w:tcPr>
            <w:tcW w:w="6797" w:type="dxa"/>
            <w:noWrap w:val="0"/>
            <w:vAlign w:val="top"/>
          </w:tcPr>
          <w:p w14:paraId="7A189426">
            <w:pPr>
              <w:jc w:val="center"/>
              <w:rPr>
                <w:rFonts w:hint="eastAsia" w:ascii="宋体" w:hAnsi="宋体" w:eastAsia="宋体" w:cs="宋体"/>
                <w:sz w:val="24"/>
                <w:szCs w:val="24"/>
              </w:rPr>
            </w:pPr>
            <w:r>
              <w:rPr>
                <w:rFonts w:hint="eastAsia" w:ascii="宋体" w:hAnsi="宋体" w:eastAsia="宋体" w:cs="宋体"/>
                <w:sz w:val="24"/>
                <w:szCs w:val="24"/>
              </w:rPr>
              <w:t>神经睡眠改善组件</w:t>
            </w:r>
          </w:p>
        </w:tc>
      </w:tr>
      <w:tr w14:paraId="7047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103C4D70">
            <w:pPr>
              <w:jc w:val="center"/>
              <w:rPr>
                <w:rFonts w:hint="eastAsia" w:ascii="宋体" w:hAnsi="宋体" w:eastAsia="宋体" w:cs="宋体"/>
                <w:sz w:val="24"/>
                <w:szCs w:val="24"/>
              </w:rPr>
            </w:pPr>
            <w:r>
              <w:rPr>
                <w:rFonts w:hint="eastAsia" w:ascii="宋体" w:hAnsi="宋体" w:eastAsia="宋体" w:cs="宋体"/>
                <w:sz w:val="24"/>
                <w:szCs w:val="24"/>
              </w:rPr>
              <w:t>8</w:t>
            </w:r>
          </w:p>
        </w:tc>
        <w:tc>
          <w:tcPr>
            <w:tcW w:w="6797" w:type="dxa"/>
            <w:noWrap w:val="0"/>
            <w:vAlign w:val="top"/>
          </w:tcPr>
          <w:p w14:paraId="137CADA5">
            <w:pPr>
              <w:jc w:val="center"/>
              <w:rPr>
                <w:rFonts w:hint="eastAsia" w:ascii="宋体" w:hAnsi="宋体" w:eastAsia="宋体" w:cs="宋体"/>
                <w:sz w:val="24"/>
                <w:szCs w:val="24"/>
              </w:rPr>
            </w:pPr>
            <w:r>
              <w:rPr>
                <w:rFonts w:hint="eastAsia" w:ascii="宋体" w:hAnsi="宋体" w:eastAsia="宋体" w:cs="宋体"/>
                <w:sz w:val="24"/>
                <w:szCs w:val="24"/>
              </w:rPr>
              <w:t>肝病型营养制剂</w:t>
            </w:r>
          </w:p>
        </w:tc>
      </w:tr>
      <w:tr w14:paraId="7B53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49B78CF">
            <w:pPr>
              <w:jc w:val="center"/>
              <w:rPr>
                <w:rFonts w:hint="eastAsia" w:ascii="宋体" w:hAnsi="宋体" w:eastAsia="宋体" w:cs="宋体"/>
                <w:sz w:val="24"/>
                <w:szCs w:val="24"/>
              </w:rPr>
            </w:pPr>
            <w:r>
              <w:rPr>
                <w:rFonts w:hint="eastAsia" w:ascii="宋体" w:hAnsi="宋体" w:eastAsia="宋体" w:cs="宋体"/>
                <w:sz w:val="24"/>
                <w:szCs w:val="24"/>
              </w:rPr>
              <w:t>9</w:t>
            </w:r>
          </w:p>
        </w:tc>
        <w:tc>
          <w:tcPr>
            <w:tcW w:w="6797" w:type="dxa"/>
            <w:noWrap w:val="0"/>
            <w:vAlign w:val="top"/>
          </w:tcPr>
          <w:p w14:paraId="0C7934E6">
            <w:pPr>
              <w:jc w:val="center"/>
              <w:rPr>
                <w:rFonts w:hint="eastAsia" w:ascii="宋体" w:hAnsi="宋体" w:eastAsia="宋体" w:cs="宋体"/>
                <w:sz w:val="24"/>
                <w:szCs w:val="24"/>
              </w:rPr>
            </w:pPr>
            <w:r>
              <w:rPr>
                <w:rFonts w:hint="eastAsia" w:ascii="宋体" w:hAnsi="宋体" w:eastAsia="宋体" w:cs="宋体"/>
                <w:sz w:val="24"/>
                <w:szCs w:val="24"/>
              </w:rPr>
              <w:t>骨胶原肽</w:t>
            </w:r>
            <w:r>
              <w:rPr>
                <w:rFonts w:hint="eastAsia" w:ascii="宋体" w:hAnsi="宋体" w:eastAsia="宋体" w:cs="宋体"/>
                <w:sz w:val="24"/>
                <w:szCs w:val="24"/>
                <w:lang w:eastAsia="zh-CN"/>
              </w:rPr>
              <w:t>复合营养粉</w:t>
            </w:r>
          </w:p>
        </w:tc>
      </w:tr>
      <w:tr w14:paraId="1708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112D4725">
            <w:pPr>
              <w:jc w:val="center"/>
              <w:rPr>
                <w:rFonts w:hint="eastAsia" w:ascii="宋体" w:hAnsi="宋体" w:eastAsia="宋体" w:cs="宋体"/>
                <w:sz w:val="24"/>
                <w:szCs w:val="24"/>
              </w:rPr>
            </w:pPr>
            <w:r>
              <w:rPr>
                <w:rFonts w:hint="eastAsia" w:ascii="宋体" w:hAnsi="宋体" w:eastAsia="宋体" w:cs="宋体"/>
                <w:sz w:val="24"/>
                <w:szCs w:val="24"/>
              </w:rPr>
              <w:t>10</w:t>
            </w:r>
          </w:p>
        </w:tc>
        <w:tc>
          <w:tcPr>
            <w:tcW w:w="6797" w:type="dxa"/>
            <w:noWrap w:val="0"/>
            <w:vAlign w:val="top"/>
          </w:tcPr>
          <w:p w14:paraId="661B9328">
            <w:pPr>
              <w:jc w:val="center"/>
              <w:rPr>
                <w:rFonts w:hint="eastAsia" w:ascii="宋体" w:hAnsi="宋体" w:eastAsia="宋体" w:cs="宋体"/>
                <w:sz w:val="24"/>
                <w:szCs w:val="24"/>
              </w:rPr>
            </w:pPr>
            <w:r>
              <w:rPr>
                <w:rFonts w:hint="eastAsia" w:ascii="宋体" w:hAnsi="宋体" w:eastAsia="宋体" w:cs="宋体"/>
                <w:sz w:val="24"/>
                <w:szCs w:val="24"/>
              </w:rPr>
              <w:t>益生菌</w:t>
            </w:r>
          </w:p>
        </w:tc>
      </w:tr>
      <w:tr w14:paraId="018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542F3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797" w:type="dxa"/>
            <w:noWrap w:val="0"/>
            <w:vAlign w:val="top"/>
          </w:tcPr>
          <w:p w14:paraId="79814707">
            <w:pPr>
              <w:jc w:val="center"/>
              <w:rPr>
                <w:rFonts w:hint="eastAsia" w:ascii="宋体" w:hAnsi="宋体" w:eastAsia="宋体" w:cs="宋体"/>
                <w:sz w:val="24"/>
                <w:szCs w:val="24"/>
              </w:rPr>
            </w:pPr>
            <w:r>
              <w:rPr>
                <w:rFonts w:hint="eastAsia" w:ascii="宋体" w:hAnsi="宋体" w:eastAsia="宋体" w:cs="宋体"/>
                <w:sz w:val="24"/>
                <w:szCs w:val="24"/>
              </w:rPr>
              <w:t>HMB复配维生素D增肌组件</w:t>
            </w:r>
          </w:p>
        </w:tc>
      </w:tr>
      <w:tr w14:paraId="759B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265D3493">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12</w:t>
            </w:r>
          </w:p>
        </w:tc>
        <w:tc>
          <w:tcPr>
            <w:tcW w:w="6797" w:type="dxa"/>
            <w:noWrap w:val="0"/>
            <w:vAlign w:val="top"/>
          </w:tcPr>
          <w:p w14:paraId="63656968">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肾病型营养制剂</w:t>
            </w:r>
          </w:p>
        </w:tc>
      </w:tr>
      <w:tr w14:paraId="19C7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6C8D48EC">
            <w:pPr>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13</w:t>
            </w:r>
          </w:p>
        </w:tc>
        <w:tc>
          <w:tcPr>
            <w:tcW w:w="6797" w:type="dxa"/>
            <w:noWrap w:val="0"/>
            <w:vAlign w:val="top"/>
          </w:tcPr>
          <w:p w14:paraId="286E4286">
            <w:pPr>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减重营养粉</w:t>
            </w:r>
          </w:p>
        </w:tc>
      </w:tr>
    </w:tbl>
    <w:p w14:paraId="3814BD6B">
      <w:pPr>
        <w:rPr>
          <w:ins w:id="58" w:author="威武老包子" w:date="2026-03-12T08:58:52Z"/>
          <w:rFonts w:hint="eastAsia" w:eastAsia="宋体"/>
          <w:lang w:val="en-US" w:eastAsia="zh-CN"/>
        </w:rPr>
      </w:pPr>
    </w:p>
    <w:p w14:paraId="66F9DB69">
      <w:pPr>
        <w:pStyle w:val="3"/>
        <w:numPr>
          <w:ilvl w:val="0"/>
          <w:numId w:val="0"/>
        </w:numPr>
        <w:spacing w:line="360" w:lineRule="auto"/>
        <w:jc w:val="center"/>
        <w:rPr>
          <w:ins w:id="59" w:author="威武老包子" w:date="2026-03-12T08:58:53Z"/>
          <w:rFonts w:hint="eastAsia" w:ascii="宋体" w:hAnsi="宋体" w:eastAsia="宋体" w:cs="宋体"/>
          <w:b/>
          <w:sz w:val="30"/>
          <w:szCs w:val="30"/>
        </w:rPr>
      </w:pPr>
    </w:p>
    <w:p w14:paraId="5F866C8E">
      <w:pPr>
        <w:pStyle w:val="3"/>
        <w:numPr>
          <w:ilvl w:val="0"/>
          <w:numId w:val="0"/>
        </w:numPr>
        <w:spacing w:line="360" w:lineRule="auto"/>
        <w:jc w:val="center"/>
        <w:rPr>
          <w:ins w:id="60" w:author="威武老包子" w:date="2026-03-12T08:58:53Z"/>
          <w:rFonts w:hint="eastAsia" w:ascii="宋体" w:hAnsi="宋体" w:eastAsia="宋体" w:cs="宋体"/>
          <w:b/>
          <w:sz w:val="30"/>
          <w:szCs w:val="30"/>
        </w:rPr>
      </w:pPr>
    </w:p>
    <w:p w14:paraId="1894C5E7">
      <w:pPr>
        <w:pStyle w:val="3"/>
        <w:numPr>
          <w:ilvl w:val="0"/>
          <w:numId w:val="0"/>
        </w:numPr>
        <w:spacing w:line="360" w:lineRule="auto"/>
        <w:jc w:val="center"/>
        <w:rPr>
          <w:ins w:id="61" w:author="威武老包子" w:date="2026-03-12T08:58:53Z"/>
          <w:rFonts w:hint="eastAsia" w:ascii="宋体" w:hAnsi="宋体" w:eastAsia="宋体" w:cs="宋体"/>
          <w:b/>
          <w:sz w:val="30"/>
          <w:szCs w:val="30"/>
        </w:rPr>
      </w:pPr>
    </w:p>
    <w:p w14:paraId="35C05A07">
      <w:pPr>
        <w:pStyle w:val="3"/>
        <w:numPr>
          <w:ilvl w:val="0"/>
          <w:numId w:val="0"/>
        </w:numPr>
        <w:spacing w:line="360" w:lineRule="auto"/>
        <w:jc w:val="center"/>
        <w:rPr>
          <w:ins w:id="62" w:author="威武老包子" w:date="2026-03-12T08:58:53Z"/>
          <w:rFonts w:hint="eastAsia" w:ascii="宋体" w:hAnsi="宋体" w:eastAsia="宋体" w:cs="宋体"/>
          <w:b/>
          <w:sz w:val="30"/>
          <w:szCs w:val="30"/>
        </w:rPr>
      </w:pPr>
    </w:p>
    <w:p w14:paraId="7AB97014">
      <w:pPr>
        <w:pStyle w:val="3"/>
        <w:numPr>
          <w:ilvl w:val="0"/>
          <w:numId w:val="0"/>
        </w:num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评分标准</w:t>
      </w:r>
    </w:p>
    <w:p w14:paraId="7D415614">
      <w:pPr>
        <w:spacing w:line="360" w:lineRule="auto"/>
        <w:ind w:firstLine="413"/>
        <w:rPr>
          <w:rFonts w:hint="eastAsia" w:ascii="宋体" w:hAnsi="宋体" w:cs="宋体"/>
          <w:b/>
        </w:rPr>
      </w:pPr>
      <w:r>
        <w:rPr>
          <w:rFonts w:hint="eastAsia" w:ascii="宋体" w:hAnsi="宋体" w:cs="宋体"/>
          <w:b/>
          <w:bCs/>
          <w:szCs w:val="21"/>
        </w:rPr>
        <w:t>一、</w:t>
      </w:r>
      <w:r>
        <w:rPr>
          <w:rFonts w:hint="eastAsia" w:ascii="宋体" w:hAnsi="宋体" w:cs="宋体"/>
          <w:b/>
          <w:szCs w:val="21"/>
        </w:rPr>
        <w:t>评分办法</w:t>
      </w:r>
    </w:p>
    <w:p w14:paraId="159EFA9D">
      <w:pPr>
        <w:pStyle w:val="17"/>
        <w:tabs>
          <w:tab w:val="left" w:pos="960"/>
        </w:tabs>
        <w:spacing w:line="360" w:lineRule="auto"/>
        <w:ind w:right="-252" w:firstLine="420"/>
        <w:rPr>
          <w:rFonts w:hint="eastAsia" w:ascii="宋体" w:hAnsi="宋体" w:eastAsia="宋体" w:cs="宋体"/>
        </w:rPr>
      </w:pPr>
      <w:r>
        <w:rPr>
          <w:rFonts w:hint="eastAsia" w:ascii="宋体" w:hAnsi="宋体" w:eastAsia="宋体" w:cs="宋体"/>
          <w:sz w:val="21"/>
          <w:szCs w:val="21"/>
        </w:rPr>
        <w:t>1、本次招标评标方法为综合评分法，即在最大限度地满足磋商文件实质性要求前提下，按照磋商文件中规定的各项因素进行综合评审后，以评标总得分最高的供应商作为中标候选人或者中标人的评标方法。</w:t>
      </w:r>
    </w:p>
    <w:p w14:paraId="0D518E43">
      <w:pPr>
        <w:tabs>
          <w:tab w:val="left" w:pos="960"/>
        </w:tabs>
        <w:spacing w:line="360" w:lineRule="auto"/>
        <w:ind w:right="-252" w:firstLine="420"/>
        <w:rPr>
          <w:rFonts w:hint="eastAsia" w:ascii="宋体" w:hAnsi="宋体" w:cs="宋体"/>
          <w:color w:val="000000"/>
        </w:rPr>
      </w:pPr>
      <w:r>
        <w:rPr>
          <w:rFonts w:hint="eastAsia" w:ascii="宋体" w:hAnsi="宋体" w:cs="宋体"/>
          <w:szCs w:val="21"/>
        </w:rPr>
        <w:t>2、综合评分的主要因素为:价格、技术、财务状况、信誉、业绩、服务、对磋商文件的响应程度，以及相应的比重或者数值等</w:t>
      </w:r>
      <w:r>
        <w:rPr>
          <w:rFonts w:hint="eastAsia" w:ascii="宋体" w:hAnsi="宋体" w:cs="宋体"/>
          <w:color w:val="000000"/>
          <w:szCs w:val="21"/>
        </w:rPr>
        <w:t>。总分值100分，价格评审分值</w:t>
      </w:r>
      <w:ins w:id="63" w:author="威武老包子" w:date="2026-03-12T07:47:16Z">
        <w:r>
          <w:rPr>
            <w:rFonts w:hint="eastAsia" w:ascii="宋体" w:hAnsi="宋体" w:cs="宋体"/>
            <w:color w:val="000000"/>
            <w:szCs w:val="21"/>
            <w:lang w:val="en-US" w:eastAsia="zh-CN"/>
          </w:rPr>
          <w:t>2</w:t>
        </w:r>
      </w:ins>
      <w:ins w:id="64" w:author="很懒不起名" w:date="2026-03-12T10:54:40Z">
        <w:r>
          <w:rPr>
            <w:rFonts w:hint="eastAsia" w:ascii="宋体" w:hAnsi="宋体" w:cs="宋体"/>
            <w:color w:val="000000"/>
            <w:szCs w:val="21"/>
            <w:lang w:val="en-US" w:eastAsia="zh-CN"/>
          </w:rPr>
          <w:t>5</w:t>
        </w:r>
      </w:ins>
      <w:r>
        <w:rPr>
          <w:rFonts w:hint="eastAsia" w:ascii="宋体" w:hAnsi="宋体" w:cs="宋体"/>
          <w:color w:val="000000"/>
          <w:szCs w:val="21"/>
        </w:rPr>
        <w:t>分，技术及商务评审分值为</w:t>
      </w:r>
      <w:ins w:id="65" w:author="很懒不起名" w:date="2026-03-12T10:54:43Z">
        <w:r>
          <w:rPr>
            <w:rFonts w:hint="eastAsia" w:ascii="宋体" w:hAnsi="宋体" w:cs="宋体"/>
            <w:color w:val="FF0000"/>
            <w:szCs w:val="21"/>
            <w:lang w:val="en-US" w:eastAsia="zh-CN"/>
          </w:rPr>
          <w:t>75</w:t>
        </w:r>
      </w:ins>
      <w:r>
        <w:rPr>
          <w:rFonts w:hint="eastAsia" w:ascii="宋体" w:hAnsi="宋体" w:cs="宋体"/>
          <w:color w:val="000000"/>
          <w:szCs w:val="21"/>
        </w:rPr>
        <w:t>分。</w:t>
      </w:r>
    </w:p>
    <w:p w14:paraId="0B4487ED">
      <w:pPr>
        <w:tabs>
          <w:tab w:val="left" w:pos="960"/>
        </w:tabs>
        <w:spacing w:line="360" w:lineRule="auto"/>
        <w:ind w:right="-252" w:firstLine="420"/>
        <w:rPr>
          <w:rFonts w:hint="eastAsia" w:ascii="宋体" w:hAnsi="宋体" w:cs="宋体"/>
          <w:szCs w:val="21"/>
        </w:rPr>
      </w:pPr>
      <w:r>
        <w:rPr>
          <w:rFonts w:hint="eastAsia" w:ascii="宋体" w:hAnsi="宋体" w:cs="宋体"/>
          <w:szCs w:val="21"/>
        </w:rPr>
        <w:t>3、评标时，评标委员会各成员独立对每个有效供应商的标书进行评价、打分，然后汇总，按算术平均方法，计算出每个供应商的得分；报价得分通过计算直接取得；报价得分加评委算术平均得分，为供应商的总得分。</w:t>
      </w:r>
    </w:p>
    <w:p w14:paraId="4490BAD2">
      <w:pPr>
        <w:tabs>
          <w:tab w:val="left" w:pos="960"/>
        </w:tabs>
        <w:spacing w:line="360" w:lineRule="auto"/>
        <w:ind w:right="-252" w:firstLine="420"/>
        <w:rPr>
          <w:ins w:id="66" w:author="很懒不起名" w:date="2026-04-02T13:49:41Z"/>
          <w:rFonts w:hint="eastAsia" w:ascii="宋体" w:hAnsi="宋体" w:cs="宋体"/>
          <w:b/>
          <w:color w:val="000000"/>
          <w:szCs w:val="21"/>
        </w:rPr>
      </w:pPr>
    </w:p>
    <w:p w14:paraId="3DBD8EE9">
      <w:pPr>
        <w:tabs>
          <w:tab w:val="left" w:pos="960"/>
        </w:tabs>
        <w:spacing w:line="360" w:lineRule="auto"/>
        <w:ind w:right="-252" w:firstLine="420"/>
        <w:rPr>
          <w:ins w:id="67" w:author="很懒不起名" w:date="2026-04-02T13:49:41Z"/>
          <w:rFonts w:hint="eastAsia" w:ascii="宋体" w:hAnsi="宋体" w:cs="宋体"/>
          <w:b/>
          <w:color w:val="000000"/>
          <w:szCs w:val="21"/>
        </w:rPr>
      </w:pPr>
    </w:p>
    <w:p w14:paraId="2AF8FD0F">
      <w:pPr>
        <w:tabs>
          <w:tab w:val="left" w:pos="960"/>
        </w:tabs>
        <w:spacing w:line="360" w:lineRule="auto"/>
        <w:ind w:right="-252" w:firstLine="420"/>
        <w:rPr>
          <w:ins w:id="68" w:author="很懒不起名" w:date="2026-04-02T13:49:41Z"/>
          <w:rFonts w:hint="eastAsia" w:ascii="宋体" w:hAnsi="宋体" w:cs="宋体"/>
          <w:b/>
          <w:color w:val="000000"/>
          <w:szCs w:val="21"/>
        </w:rPr>
      </w:pPr>
    </w:p>
    <w:p w14:paraId="1DDAED50">
      <w:pPr>
        <w:tabs>
          <w:tab w:val="left" w:pos="960"/>
        </w:tabs>
        <w:spacing w:line="360" w:lineRule="auto"/>
        <w:ind w:right="-252" w:firstLine="420"/>
        <w:rPr>
          <w:ins w:id="69" w:author="很懒不起名" w:date="2026-04-02T13:49:42Z"/>
          <w:rFonts w:hint="eastAsia" w:ascii="宋体" w:hAnsi="宋体" w:cs="宋体"/>
          <w:b/>
          <w:color w:val="000000"/>
          <w:szCs w:val="21"/>
        </w:rPr>
      </w:pPr>
    </w:p>
    <w:p w14:paraId="4674EC19">
      <w:pPr>
        <w:tabs>
          <w:tab w:val="left" w:pos="960"/>
        </w:tabs>
        <w:spacing w:line="360" w:lineRule="auto"/>
        <w:ind w:right="-252" w:firstLine="420"/>
        <w:rPr>
          <w:ins w:id="70" w:author="很懒不起名" w:date="2026-04-02T13:49:42Z"/>
          <w:rFonts w:hint="eastAsia" w:ascii="宋体" w:hAnsi="宋体" w:cs="宋体"/>
          <w:b/>
          <w:color w:val="000000"/>
          <w:szCs w:val="21"/>
        </w:rPr>
      </w:pPr>
    </w:p>
    <w:p w14:paraId="18817734">
      <w:pPr>
        <w:tabs>
          <w:tab w:val="left" w:pos="960"/>
        </w:tabs>
        <w:spacing w:line="360" w:lineRule="auto"/>
        <w:ind w:right="-252" w:firstLine="420"/>
        <w:rPr>
          <w:ins w:id="71" w:author="很懒不起名" w:date="2026-04-02T13:49:42Z"/>
          <w:rFonts w:hint="eastAsia" w:ascii="宋体" w:hAnsi="宋体" w:cs="宋体"/>
          <w:b/>
          <w:color w:val="000000"/>
          <w:szCs w:val="21"/>
        </w:rPr>
      </w:pPr>
    </w:p>
    <w:p w14:paraId="729807C8">
      <w:pPr>
        <w:tabs>
          <w:tab w:val="left" w:pos="960"/>
        </w:tabs>
        <w:spacing w:line="360" w:lineRule="auto"/>
        <w:ind w:right="-252" w:firstLine="420"/>
        <w:rPr>
          <w:ins w:id="72" w:author="很懒不起名" w:date="2026-04-02T13:49:42Z"/>
          <w:rFonts w:hint="eastAsia" w:ascii="宋体" w:hAnsi="宋体" w:cs="宋体"/>
          <w:b/>
          <w:color w:val="000000"/>
          <w:szCs w:val="21"/>
        </w:rPr>
      </w:pPr>
    </w:p>
    <w:p w14:paraId="44CE41CE">
      <w:pPr>
        <w:tabs>
          <w:tab w:val="left" w:pos="960"/>
        </w:tabs>
        <w:spacing w:line="360" w:lineRule="auto"/>
        <w:ind w:right="-252" w:firstLine="420"/>
        <w:rPr>
          <w:ins w:id="73" w:author="很懒不起名" w:date="2026-04-02T13:49:42Z"/>
          <w:rFonts w:hint="eastAsia" w:ascii="宋体" w:hAnsi="宋体" w:cs="宋体"/>
          <w:b/>
          <w:color w:val="000000"/>
          <w:szCs w:val="21"/>
        </w:rPr>
      </w:pPr>
    </w:p>
    <w:p w14:paraId="559138D1">
      <w:pPr>
        <w:tabs>
          <w:tab w:val="left" w:pos="960"/>
        </w:tabs>
        <w:spacing w:line="360" w:lineRule="auto"/>
        <w:ind w:right="-252" w:firstLine="420"/>
        <w:rPr>
          <w:ins w:id="74" w:author="很懒不起名" w:date="2026-04-02T13:49:42Z"/>
          <w:rFonts w:hint="eastAsia" w:ascii="宋体" w:hAnsi="宋体" w:cs="宋体"/>
          <w:b/>
          <w:color w:val="000000"/>
          <w:szCs w:val="21"/>
        </w:rPr>
      </w:pPr>
    </w:p>
    <w:p w14:paraId="78DAAB2A">
      <w:pPr>
        <w:tabs>
          <w:tab w:val="left" w:pos="960"/>
        </w:tabs>
        <w:spacing w:line="360" w:lineRule="auto"/>
        <w:ind w:right="-252" w:firstLine="420"/>
        <w:rPr>
          <w:ins w:id="75" w:author="很懒不起名" w:date="2026-04-02T13:49:42Z"/>
          <w:rFonts w:hint="eastAsia" w:ascii="宋体" w:hAnsi="宋体" w:cs="宋体"/>
          <w:b/>
          <w:color w:val="000000"/>
          <w:szCs w:val="21"/>
        </w:rPr>
      </w:pPr>
    </w:p>
    <w:p w14:paraId="785E122A">
      <w:pPr>
        <w:tabs>
          <w:tab w:val="left" w:pos="960"/>
        </w:tabs>
        <w:spacing w:line="360" w:lineRule="auto"/>
        <w:ind w:right="-252" w:firstLine="420"/>
        <w:rPr>
          <w:ins w:id="76" w:author="很懒不起名" w:date="2026-04-02T13:49:42Z"/>
          <w:rFonts w:hint="eastAsia" w:ascii="宋体" w:hAnsi="宋体" w:cs="宋体"/>
          <w:b/>
          <w:color w:val="000000"/>
          <w:szCs w:val="21"/>
        </w:rPr>
      </w:pPr>
    </w:p>
    <w:p w14:paraId="430FDA9A">
      <w:pPr>
        <w:tabs>
          <w:tab w:val="left" w:pos="960"/>
        </w:tabs>
        <w:spacing w:line="360" w:lineRule="auto"/>
        <w:ind w:right="-252" w:firstLine="420"/>
        <w:rPr>
          <w:ins w:id="77" w:author="很懒不起名" w:date="2026-04-02T13:49:42Z"/>
          <w:rFonts w:hint="eastAsia" w:ascii="宋体" w:hAnsi="宋体" w:cs="宋体"/>
          <w:b/>
          <w:color w:val="000000"/>
          <w:szCs w:val="21"/>
        </w:rPr>
      </w:pPr>
    </w:p>
    <w:p w14:paraId="6744FEDB">
      <w:pPr>
        <w:tabs>
          <w:tab w:val="left" w:pos="960"/>
        </w:tabs>
        <w:spacing w:line="360" w:lineRule="auto"/>
        <w:ind w:right="-252" w:firstLine="420"/>
        <w:rPr>
          <w:ins w:id="78" w:author="很懒不起名" w:date="2026-04-02T13:49:42Z"/>
          <w:rFonts w:hint="eastAsia" w:ascii="宋体" w:hAnsi="宋体" w:cs="宋体"/>
          <w:b/>
          <w:color w:val="000000"/>
          <w:szCs w:val="21"/>
        </w:rPr>
      </w:pPr>
    </w:p>
    <w:p w14:paraId="6C323F07">
      <w:pPr>
        <w:tabs>
          <w:tab w:val="left" w:pos="960"/>
        </w:tabs>
        <w:spacing w:line="360" w:lineRule="auto"/>
        <w:ind w:right="-252" w:firstLine="420"/>
        <w:rPr>
          <w:ins w:id="79" w:author="很懒不起名" w:date="2026-04-02T13:49:42Z"/>
          <w:rFonts w:hint="eastAsia" w:ascii="宋体" w:hAnsi="宋体" w:cs="宋体"/>
          <w:b/>
          <w:color w:val="000000"/>
          <w:szCs w:val="21"/>
        </w:rPr>
      </w:pPr>
    </w:p>
    <w:p w14:paraId="45B7192B">
      <w:pPr>
        <w:tabs>
          <w:tab w:val="left" w:pos="960"/>
        </w:tabs>
        <w:spacing w:line="360" w:lineRule="auto"/>
        <w:ind w:right="-252" w:firstLine="420"/>
        <w:rPr>
          <w:ins w:id="80" w:author="很懒不起名" w:date="2026-04-02T13:49:42Z"/>
          <w:rFonts w:hint="eastAsia" w:ascii="宋体" w:hAnsi="宋体" w:cs="宋体"/>
          <w:b/>
          <w:color w:val="000000"/>
          <w:szCs w:val="21"/>
        </w:rPr>
      </w:pPr>
    </w:p>
    <w:p w14:paraId="20C1E640">
      <w:pPr>
        <w:tabs>
          <w:tab w:val="left" w:pos="960"/>
        </w:tabs>
        <w:spacing w:line="360" w:lineRule="auto"/>
        <w:ind w:right="-252" w:firstLine="420"/>
        <w:rPr>
          <w:ins w:id="81" w:author="很懒不起名" w:date="2026-04-02T13:49:42Z"/>
          <w:rFonts w:hint="eastAsia" w:ascii="宋体" w:hAnsi="宋体" w:cs="宋体"/>
          <w:b/>
          <w:color w:val="000000"/>
          <w:szCs w:val="21"/>
        </w:rPr>
      </w:pPr>
    </w:p>
    <w:p w14:paraId="17B61755">
      <w:pPr>
        <w:tabs>
          <w:tab w:val="left" w:pos="960"/>
        </w:tabs>
        <w:spacing w:line="360" w:lineRule="auto"/>
        <w:ind w:right="-252" w:firstLine="420"/>
        <w:rPr>
          <w:ins w:id="82" w:author="很懒不起名" w:date="2026-04-02T13:49:42Z"/>
          <w:rFonts w:hint="eastAsia" w:ascii="宋体" w:hAnsi="宋体" w:cs="宋体"/>
          <w:b/>
          <w:color w:val="000000"/>
          <w:szCs w:val="21"/>
        </w:rPr>
      </w:pPr>
    </w:p>
    <w:p w14:paraId="048CF01D">
      <w:pPr>
        <w:tabs>
          <w:tab w:val="left" w:pos="960"/>
        </w:tabs>
        <w:spacing w:line="360" w:lineRule="auto"/>
        <w:ind w:right="-252" w:firstLine="420"/>
        <w:rPr>
          <w:ins w:id="83" w:author="很懒不起名" w:date="2026-04-02T13:49:42Z"/>
          <w:rFonts w:hint="eastAsia" w:ascii="宋体" w:hAnsi="宋体" w:cs="宋体"/>
          <w:b/>
          <w:color w:val="000000"/>
          <w:szCs w:val="21"/>
        </w:rPr>
      </w:pPr>
    </w:p>
    <w:p w14:paraId="0602E355">
      <w:pPr>
        <w:tabs>
          <w:tab w:val="left" w:pos="960"/>
        </w:tabs>
        <w:spacing w:line="360" w:lineRule="auto"/>
        <w:ind w:right="-252" w:firstLine="420"/>
        <w:rPr>
          <w:ins w:id="84" w:author="很懒不起名" w:date="2026-04-02T13:49:42Z"/>
          <w:rFonts w:hint="eastAsia" w:ascii="宋体" w:hAnsi="宋体" w:cs="宋体"/>
          <w:b/>
          <w:color w:val="000000"/>
          <w:szCs w:val="21"/>
        </w:rPr>
      </w:pPr>
    </w:p>
    <w:p w14:paraId="7132AB08">
      <w:pPr>
        <w:tabs>
          <w:tab w:val="left" w:pos="960"/>
        </w:tabs>
        <w:spacing w:line="360" w:lineRule="auto"/>
        <w:ind w:right="-252" w:firstLine="420"/>
        <w:rPr>
          <w:ins w:id="85" w:author="很懒不起名" w:date="2026-04-02T13:49:42Z"/>
          <w:rFonts w:hint="eastAsia" w:ascii="宋体" w:hAnsi="宋体" w:cs="宋体"/>
          <w:b/>
          <w:color w:val="000000"/>
          <w:szCs w:val="21"/>
        </w:rPr>
      </w:pPr>
    </w:p>
    <w:p w14:paraId="61F5730C">
      <w:pPr>
        <w:tabs>
          <w:tab w:val="left" w:pos="960"/>
        </w:tabs>
        <w:spacing w:line="360" w:lineRule="auto"/>
        <w:ind w:right="-252" w:firstLine="420"/>
        <w:rPr>
          <w:ins w:id="86" w:author="很懒不起名" w:date="2026-04-02T13:49:42Z"/>
          <w:rFonts w:hint="eastAsia" w:ascii="宋体" w:hAnsi="宋体" w:cs="宋体"/>
          <w:b/>
          <w:color w:val="000000"/>
          <w:szCs w:val="21"/>
        </w:rPr>
      </w:pPr>
    </w:p>
    <w:p w14:paraId="4D23BD5D">
      <w:pPr>
        <w:tabs>
          <w:tab w:val="left" w:pos="960"/>
        </w:tabs>
        <w:spacing w:line="360" w:lineRule="auto"/>
        <w:ind w:right="-252" w:firstLine="420"/>
        <w:rPr>
          <w:ins w:id="87" w:author="很懒不起名" w:date="2026-04-02T13:49:42Z"/>
          <w:rFonts w:hint="eastAsia" w:ascii="宋体" w:hAnsi="宋体" w:cs="宋体"/>
          <w:b/>
          <w:color w:val="000000"/>
          <w:szCs w:val="21"/>
        </w:rPr>
      </w:pPr>
    </w:p>
    <w:p w14:paraId="4E1FCE05">
      <w:pPr>
        <w:tabs>
          <w:tab w:val="left" w:pos="960"/>
        </w:tabs>
        <w:spacing w:line="360" w:lineRule="auto"/>
        <w:ind w:right="-252" w:firstLine="420"/>
        <w:rPr>
          <w:ins w:id="88" w:author="很懒不起名" w:date="2026-04-02T13:49:42Z"/>
          <w:rFonts w:hint="eastAsia" w:ascii="宋体" w:hAnsi="宋体" w:cs="宋体"/>
          <w:b/>
          <w:color w:val="000000"/>
          <w:szCs w:val="21"/>
        </w:rPr>
      </w:pPr>
    </w:p>
    <w:p w14:paraId="1E005003">
      <w:pPr>
        <w:tabs>
          <w:tab w:val="left" w:pos="960"/>
        </w:tabs>
        <w:spacing w:line="360" w:lineRule="auto"/>
        <w:ind w:right="-252" w:firstLine="420"/>
        <w:rPr>
          <w:ins w:id="89" w:author="很懒不起名" w:date="2026-04-02T13:49:42Z"/>
          <w:rFonts w:hint="eastAsia" w:ascii="宋体" w:hAnsi="宋体" w:cs="宋体"/>
          <w:b/>
          <w:color w:val="000000"/>
          <w:szCs w:val="21"/>
        </w:rPr>
      </w:pPr>
    </w:p>
    <w:p w14:paraId="7097DEE8">
      <w:pPr>
        <w:tabs>
          <w:tab w:val="left" w:pos="960"/>
        </w:tabs>
        <w:spacing w:line="360" w:lineRule="auto"/>
        <w:ind w:right="-252" w:firstLine="420"/>
        <w:rPr>
          <w:ins w:id="90" w:author="很懒不起名" w:date="2026-04-02T13:49:42Z"/>
          <w:rFonts w:hint="eastAsia" w:ascii="宋体" w:hAnsi="宋体" w:cs="宋体"/>
          <w:b/>
          <w:color w:val="000000"/>
          <w:szCs w:val="21"/>
        </w:rPr>
      </w:pPr>
    </w:p>
    <w:p w14:paraId="6D6CABD2">
      <w:pPr>
        <w:tabs>
          <w:tab w:val="left" w:pos="960"/>
        </w:tabs>
        <w:spacing w:line="360" w:lineRule="auto"/>
        <w:ind w:right="-252" w:firstLine="420"/>
        <w:rPr>
          <w:ins w:id="91" w:author="很懒不起名" w:date="2026-04-02T13:49:42Z"/>
          <w:rFonts w:hint="eastAsia" w:ascii="宋体" w:hAnsi="宋体" w:cs="宋体"/>
          <w:b/>
          <w:color w:val="000000"/>
          <w:szCs w:val="21"/>
        </w:rPr>
      </w:pPr>
    </w:p>
    <w:p w14:paraId="671857F1">
      <w:pPr>
        <w:tabs>
          <w:tab w:val="left" w:pos="960"/>
        </w:tabs>
        <w:spacing w:line="360" w:lineRule="auto"/>
        <w:ind w:right="-252" w:firstLine="420"/>
        <w:rPr>
          <w:ins w:id="92" w:author="很懒不起名" w:date="2026-04-02T13:49:43Z"/>
          <w:rFonts w:hint="eastAsia" w:ascii="宋体" w:hAnsi="宋体" w:cs="宋体"/>
          <w:b/>
          <w:color w:val="000000"/>
          <w:szCs w:val="21"/>
        </w:rPr>
      </w:pPr>
    </w:p>
    <w:p w14:paraId="0340A6C0">
      <w:pPr>
        <w:tabs>
          <w:tab w:val="left" w:pos="960"/>
        </w:tabs>
        <w:spacing w:line="360" w:lineRule="auto"/>
        <w:ind w:right="-252" w:firstLine="420"/>
        <w:rPr>
          <w:ins w:id="93" w:author="很懒不起名" w:date="2026-04-02T13:49:43Z"/>
          <w:rFonts w:hint="eastAsia" w:ascii="宋体" w:hAnsi="宋体" w:cs="宋体"/>
          <w:b/>
          <w:color w:val="000000"/>
          <w:szCs w:val="21"/>
        </w:rPr>
      </w:pPr>
    </w:p>
    <w:p w14:paraId="1D9A70CC">
      <w:pPr>
        <w:tabs>
          <w:tab w:val="left" w:pos="960"/>
        </w:tabs>
        <w:spacing w:line="360" w:lineRule="auto"/>
        <w:ind w:right="-252" w:firstLine="420"/>
        <w:rPr>
          <w:ins w:id="94" w:author="很懒不起名" w:date="2026-04-02T13:49:43Z"/>
          <w:rFonts w:hint="eastAsia" w:ascii="宋体" w:hAnsi="宋体" w:cs="宋体"/>
          <w:b/>
          <w:color w:val="000000"/>
          <w:szCs w:val="21"/>
        </w:rPr>
      </w:pPr>
    </w:p>
    <w:p w14:paraId="496EABC4">
      <w:pPr>
        <w:tabs>
          <w:tab w:val="left" w:pos="960"/>
        </w:tabs>
        <w:spacing w:line="360" w:lineRule="auto"/>
        <w:ind w:right="-252" w:firstLine="420"/>
        <w:rPr>
          <w:rFonts w:hint="eastAsia" w:ascii="宋体" w:hAnsi="宋体" w:cs="宋体"/>
          <w:b/>
          <w:color w:val="000000"/>
          <w:szCs w:val="21"/>
        </w:rPr>
      </w:pPr>
      <w:r>
        <w:rPr>
          <w:rFonts w:hint="eastAsia" w:ascii="宋体" w:hAnsi="宋体" w:cs="宋体"/>
          <w:b/>
          <w:color w:val="000000"/>
          <w:szCs w:val="21"/>
        </w:rPr>
        <w:t>二、价格基准分</w:t>
      </w:r>
      <w:r>
        <w:rPr>
          <w:rFonts w:hint="eastAsia" w:ascii="宋体" w:hAnsi="宋体" w:cs="宋体"/>
          <w:b/>
          <w:color w:val="FF0000"/>
          <w:szCs w:val="21"/>
        </w:rPr>
        <w:t>（</w:t>
      </w:r>
      <w:ins w:id="95" w:author="威武老包子" w:date="2026-03-12T07:47:30Z">
        <w:r>
          <w:rPr>
            <w:rFonts w:hint="eastAsia" w:ascii="宋体" w:hAnsi="宋体" w:cs="宋体"/>
            <w:b/>
            <w:color w:val="FF0000"/>
            <w:szCs w:val="21"/>
            <w:lang w:val="en-US" w:eastAsia="zh-CN"/>
          </w:rPr>
          <w:t>2</w:t>
        </w:r>
      </w:ins>
      <w:ins w:id="96" w:author="威武老包子" w:date="2026-03-12T09:43:08Z">
        <w:r>
          <w:rPr>
            <w:rFonts w:hint="eastAsia" w:ascii="宋体" w:hAnsi="宋体" w:cs="宋体"/>
            <w:b/>
            <w:color w:val="FF0000"/>
            <w:szCs w:val="21"/>
            <w:lang w:val="en-US" w:eastAsia="zh-CN"/>
          </w:rPr>
          <w:t>5</w:t>
        </w:r>
      </w:ins>
      <w:r>
        <w:rPr>
          <w:rFonts w:hint="eastAsia" w:ascii="宋体" w:hAnsi="宋体" w:cs="宋体"/>
          <w:b/>
          <w:color w:val="FF0000"/>
          <w:szCs w:val="21"/>
        </w:rPr>
        <w:t>分）</w:t>
      </w:r>
    </w:p>
    <w:p w14:paraId="2ED4404B">
      <w:pPr>
        <w:tabs>
          <w:tab w:val="left" w:pos="960"/>
        </w:tabs>
        <w:spacing w:line="360" w:lineRule="auto"/>
        <w:ind w:right="-252" w:firstLine="420"/>
        <w:rPr>
          <w:rFonts w:hint="eastAsia" w:ascii="宋体" w:hAnsi="宋体" w:cs="宋体"/>
          <w:color w:val="000000"/>
          <w:szCs w:val="21"/>
        </w:rPr>
      </w:pPr>
      <w:r>
        <w:rPr>
          <w:rFonts w:hint="eastAsia" w:ascii="宋体" w:hAnsi="宋体" w:cs="宋体"/>
          <w:color w:val="000000"/>
          <w:szCs w:val="21"/>
        </w:rPr>
        <w:t>满足磋商文件要求，且最终报价（综合折扣率）最低的供应商的价格为评标基准价，其价格分为满分，其他供应商的价格统一按照下列公式计算：投标报价得分=(评审基准价（综合折扣率）/最终综合折扣率)×</w:t>
      </w:r>
      <w:ins w:id="97" w:author="威武老包子" w:date="2026-03-12T07:47:34Z">
        <w:r>
          <w:rPr>
            <w:rFonts w:hint="eastAsia" w:ascii="宋体" w:hAnsi="宋体" w:cs="宋体"/>
            <w:color w:val="000000"/>
            <w:szCs w:val="21"/>
            <w:lang w:val="en-US" w:eastAsia="zh-CN"/>
          </w:rPr>
          <w:t>2</w:t>
        </w:r>
      </w:ins>
      <w:ins w:id="98" w:author="威武老包子" w:date="2026-03-12T09:43:12Z">
        <w:r>
          <w:rPr>
            <w:rFonts w:hint="eastAsia" w:ascii="宋体" w:hAnsi="宋体" w:cs="宋体"/>
            <w:color w:val="000000"/>
            <w:szCs w:val="21"/>
            <w:lang w:val="en-US" w:eastAsia="zh-CN"/>
          </w:rPr>
          <w:t>5</w:t>
        </w:r>
      </w:ins>
      <w:r>
        <w:rPr>
          <w:rFonts w:hint="eastAsia" w:ascii="宋体" w:hAnsi="宋体" w:cs="宋体"/>
          <w:color w:val="000000"/>
          <w:szCs w:val="21"/>
        </w:rPr>
        <w:t>×100%</w:t>
      </w:r>
    </w:p>
    <w:p w14:paraId="6CFBAA44">
      <w:pPr>
        <w:tabs>
          <w:tab w:val="left" w:pos="960"/>
        </w:tabs>
        <w:spacing w:line="360" w:lineRule="auto"/>
        <w:ind w:right="-252" w:firstLine="420"/>
        <w:rPr>
          <w:rFonts w:hint="eastAsia" w:ascii="宋体" w:hAnsi="宋体" w:cs="宋体"/>
          <w:color w:val="000000"/>
          <w:szCs w:val="21"/>
        </w:rPr>
      </w:pPr>
      <w:r>
        <w:rPr>
          <w:rFonts w:hint="eastAsia" w:ascii="宋体" w:hAnsi="宋体" w:cs="宋体"/>
          <w:color w:val="000000"/>
          <w:szCs w:val="21"/>
        </w:rPr>
        <w:t>举例：A供应商综合折扣率为70%,B供应商综合折扣率为80%,C供应商综合折扣率为90%,则A供应商综合折扣率最低，为评审基准价。</w:t>
      </w:r>
    </w:p>
    <w:p w14:paraId="12A89188">
      <w:pPr>
        <w:pStyle w:val="16"/>
        <w:numPr>
          <w:ilvl w:val="0"/>
          <w:numId w:val="0"/>
        </w:numPr>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三、</w:t>
      </w:r>
      <w:r>
        <w:rPr>
          <w:rFonts w:hint="eastAsia" w:ascii="宋体" w:hAnsi="宋体" w:eastAsia="宋体" w:cs="宋体"/>
          <w:b/>
          <w:color w:val="000000"/>
          <w:szCs w:val="21"/>
        </w:rPr>
        <w:t>技术及商务部分（</w:t>
      </w:r>
      <w:ins w:id="99" w:author="威武老包子" w:date="2026-03-12T09:43:16Z">
        <w:r>
          <w:rPr>
            <w:rFonts w:hint="eastAsia" w:hAnsi="宋体" w:cs="宋体"/>
            <w:b/>
            <w:color w:val="FF0000"/>
            <w:szCs w:val="21"/>
            <w:lang w:val="en-US" w:eastAsia="zh-CN"/>
          </w:rPr>
          <w:t>75</w:t>
        </w:r>
      </w:ins>
      <w:r>
        <w:rPr>
          <w:rFonts w:hint="eastAsia" w:ascii="宋体" w:hAnsi="宋体" w:eastAsia="宋体" w:cs="宋体"/>
          <w:b/>
          <w:color w:val="FF0000"/>
          <w:szCs w:val="21"/>
        </w:rPr>
        <w:t>分</w:t>
      </w:r>
      <w:r>
        <w:rPr>
          <w:rFonts w:hint="eastAsia" w:ascii="宋体" w:hAnsi="宋体" w:eastAsia="宋体" w:cs="宋体"/>
          <w:b/>
          <w:color w:val="000000"/>
          <w:szCs w:val="21"/>
        </w:rPr>
        <w:t>）</w:t>
      </w:r>
    </w:p>
    <w:tbl>
      <w:tblPr>
        <w:tblStyle w:val="11"/>
        <w:tblpPr w:leftFromText="180" w:rightFromText="180" w:vertAnchor="text" w:horzAnchor="page" w:tblpX="1459" w:tblpY="1077"/>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1127"/>
        <w:gridCol w:w="6406"/>
        <w:gridCol w:w="755"/>
      </w:tblGrid>
      <w:tr w14:paraId="0C93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99F2A3">
            <w:pPr>
              <w:rPr>
                <w:rFonts w:hint="eastAsia" w:ascii="宋体" w:hAnsi="宋体" w:eastAsia="宋体" w:cs="宋体"/>
                <w:b/>
                <w:sz w:val="21"/>
                <w:szCs w:val="21"/>
              </w:rPr>
            </w:pPr>
            <w:r>
              <w:rPr>
                <w:rFonts w:hint="eastAsia" w:ascii="宋体" w:hAnsi="宋体" w:eastAsia="宋体" w:cs="宋体"/>
                <w:b/>
                <w:color w:val="000000"/>
                <w:highlight w:val="none"/>
              </w:rPr>
              <w:br w:type="page"/>
            </w:r>
            <w:r>
              <w:rPr>
                <w:rFonts w:hint="eastAsia" w:ascii="宋体" w:hAnsi="宋体" w:eastAsia="宋体" w:cs="宋体"/>
                <w:b/>
                <w:sz w:val="21"/>
                <w:szCs w:val="21"/>
              </w:rPr>
              <w:t>评审类别</w:t>
            </w: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34F547">
            <w:pPr>
              <w:rPr>
                <w:rFonts w:hint="eastAsia" w:ascii="宋体" w:hAnsi="宋体" w:eastAsia="宋体" w:cs="宋体"/>
                <w:b/>
                <w:sz w:val="21"/>
                <w:szCs w:val="21"/>
              </w:rPr>
            </w:pPr>
            <w:r>
              <w:rPr>
                <w:rFonts w:hint="eastAsia" w:ascii="宋体" w:hAnsi="宋体" w:eastAsia="宋体" w:cs="宋体"/>
                <w:b/>
                <w:sz w:val="21"/>
                <w:szCs w:val="21"/>
              </w:rPr>
              <w:t>评审项</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BB8405">
            <w:pPr>
              <w:rPr>
                <w:rFonts w:hint="eastAsia" w:ascii="宋体" w:hAnsi="宋体" w:eastAsia="宋体" w:cs="宋体"/>
                <w:b/>
                <w:sz w:val="21"/>
                <w:szCs w:val="21"/>
              </w:rPr>
            </w:pPr>
            <w:r>
              <w:rPr>
                <w:rFonts w:hint="eastAsia" w:ascii="宋体" w:hAnsi="宋体" w:eastAsia="宋体" w:cs="宋体"/>
                <w:b/>
                <w:sz w:val="21"/>
                <w:szCs w:val="21"/>
              </w:rPr>
              <w:t>评审规则</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1A7EC5">
            <w:pPr>
              <w:jc w:val="center"/>
              <w:rPr>
                <w:rFonts w:hint="eastAsia" w:ascii="宋体" w:hAnsi="宋体" w:eastAsia="宋体" w:cs="宋体"/>
                <w:b/>
                <w:sz w:val="21"/>
                <w:szCs w:val="21"/>
              </w:rPr>
            </w:pPr>
            <w:r>
              <w:rPr>
                <w:rFonts w:hint="eastAsia" w:ascii="宋体" w:hAnsi="宋体" w:eastAsia="宋体" w:cs="宋体"/>
                <w:b/>
                <w:sz w:val="21"/>
                <w:szCs w:val="21"/>
              </w:rPr>
              <w:t>分值</w:t>
            </w:r>
          </w:p>
        </w:tc>
      </w:tr>
      <w:tr w14:paraId="3FD5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BBD4C94">
            <w:pPr>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技术及商务部分（</w:t>
            </w:r>
            <w:ins w:id="100" w:author="威武老包子" w:date="2026-03-12T09:43:20Z">
              <w:r>
                <w:rPr>
                  <w:rFonts w:hint="eastAsia" w:ascii="宋体" w:hAnsi="宋体" w:cs="宋体"/>
                  <w:b/>
                  <w:color w:val="FF0000"/>
                  <w:sz w:val="21"/>
                  <w:szCs w:val="21"/>
                  <w:highlight w:val="none"/>
                  <w:lang w:val="en-US" w:eastAsia="zh-CN"/>
                </w:rPr>
                <w:t>7</w:t>
              </w:r>
            </w:ins>
            <w:ins w:id="101" w:author="威武老包子" w:date="2026-03-12T09:43:21Z">
              <w:r>
                <w:rPr>
                  <w:rFonts w:hint="eastAsia" w:ascii="宋体" w:hAnsi="宋体" w:cs="宋体"/>
                  <w:b/>
                  <w:color w:val="FF0000"/>
                  <w:sz w:val="21"/>
                  <w:szCs w:val="21"/>
                  <w:highlight w:val="none"/>
                  <w:lang w:val="en-US" w:eastAsia="zh-CN"/>
                </w:rPr>
                <w:t>5</w:t>
              </w:r>
            </w:ins>
            <w:r>
              <w:rPr>
                <w:rFonts w:hint="eastAsia" w:ascii="宋体" w:hAnsi="宋体" w:eastAsia="宋体" w:cs="宋体"/>
                <w:b/>
                <w:color w:val="FF0000"/>
                <w:sz w:val="21"/>
                <w:szCs w:val="21"/>
                <w:highlight w:val="none"/>
              </w:rPr>
              <w:t>分</w:t>
            </w:r>
            <w:r>
              <w:rPr>
                <w:rFonts w:hint="eastAsia" w:ascii="宋体" w:hAnsi="宋体" w:eastAsia="宋体" w:cs="宋体"/>
                <w:b/>
                <w:color w:val="000000"/>
                <w:sz w:val="21"/>
                <w:szCs w:val="21"/>
                <w:highlight w:val="none"/>
              </w:rPr>
              <w:t>）</w:t>
            </w: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6862C1">
            <w:pPr>
              <w:rPr>
                <w:rFonts w:hint="eastAsia" w:ascii="宋体" w:hAnsi="宋体" w:eastAsia="宋体" w:cs="宋体"/>
                <w:sz w:val="21"/>
                <w:szCs w:val="21"/>
                <w:highlight w:val="none"/>
              </w:rPr>
            </w:pPr>
            <w:r>
              <w:rPr>
                <w:rFonts w:hint="eastAsia" w:ascii="宋体" w:hAnsi="宋体" w:eastAsia="宋体" w:cs="宋体"/>
                <w:sz w:val="21"/>
                <w:szCs w:val="21"/>
              </w:rPr>
              <w:t>整体服务实施方案</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CE4B51">
            <w:pPr>
              <w:rPr>
                <w:rFonts w:hint="eastAsia" w:ascii="宋体" w:hAnsi="宋体" w:eastAsia="宋体" w:cs="宋体"/>
                <w:sz w:val="21"/>
                <w:szCs w:val="21"/>
                <w:highlight w:val="none"/>
              </w:rPr>
            </w:pPr>
            <w:r>
              <w:rPr>
                <w:rFonts w:hint="eastAsia" w:ascii="宋体" w:hAnsi="宋体" w:eastAsia="宋体" w:cs="宋体"/>
                <w:sz w:val="21"/>
                <w:szCs w:val="21"/>
              </w:rPr>
              <w:t>根据供应商提供的整体服务实施方案进行综合评审，方案应包括但不限于以下内容：①营养制剂配送与质量保障方案;②临床营养信息化建设方案；③配套营养软件安装与使用方案；④肠内营养配制室建设方案；⑤派遣营养师及工作人员方案；⑥专项培训方案；方案包含以上完整内容得，得</w:t>
            </w:r>
            <w:ins w:id="102" w:author="威武老包子" w:date="2026-03-12T09:18:02Z">
              <w:r>
                <w:rPr>
                  <w:rFonts w:hint="eastAsia" w:ascii="宋体" w:hAnsi="宋体" w:cs="宋体"/>
                  <w:color w:val="FF0000"/>
                  <w:sz w:val="21"/>
                  <w:szCs w:val="21"/>
                  <w:lang w:val="en-US" w:eastAsia="zh-CN"/>
                </w:rPr>
                <w:t>2</w:t>
              </w:r>
            </w:ins>
            <w:ins w:id="103" w:author="威武老包子" w:date="2026-03-12T09:18:03Z">
              <w:r>
                <w:rPr>
                  <w:rFonts w:hint="eastAsia" w:ascii="宋体" w:hAnsi="宋体" w:cs="宋体"/>
                  <w:color w:val="FF0000"/>
                  <w:sz w:val="21"/>
                  <w:szCs w:val="21"/>
                  <w:lang w:val="en-US" w:eastAsia="zh-CN"/>
                </w:rPr>
                <w:t>4</w:t>
              </w:r>
            </w:ins>
            <w:r>
              <w:rPr>
                <w:rFonts w:hint="eastAsia" w:ascii="宋体" w:hAnsi="宋体" w:eastAsia="宋体" w:cs="宋体"/>
                <w:sz w:val="21"/>
                <w:szCs w:val="21"/>
              </w:rPr>
              <w:t>分；每缺少1项扣</w:t>
            </w:r>
            <w:ins w:id="104" w:author="威武老包子" w:date="2026-03-12T09:18:06Z">
              <w:r>
                <w:rPr>
                  <w:rFonts w:hint="eastAsia" w:ascii="宋体" w:hAnsi="宋体" w:cs="宋体"/>
                  <w:color w:val="FF0000"/>
                  <w:sz w:val="21"/>
                  <w:szCs w:val="21"/>
                  <w:lang w:val="en-US" w:eastAsia="zh-CN"/>
                </w:rPr>
                <w:t>4</w:t>
              </w:r>
            </w:ins>
            <w:r>
              <w:rPr>
                <w:rFonts w:hint="eastAsia" w:ascii="宋体" w:hAnsi="宋体" w:eastAsia="宋体" w:cs="宋体"/>
                <w:sz w:val="21"/>
                <w:szCs w:val="21"/>
              </w:rPr>
              <w:t>分；每有1项存在缺陷（缺陷是指存在项目名称错误、地点区域错误、内容与本项目需求无关、方案内容矛盾、仅有框架或标题、适用的标准（方法）错误、明显复制其他项目内容等任意一种情形等。）扣2分，</w:t>
            </w:r>
            <w:ins w:id="105" w:author="威武老包子" w:date="2026-03-12T09:19:04Z">
              <w:r>
                <w:rPr>
                  <w:rFonts w:hint="eastAsia" w:ascii="宋体" w:hAnsi="宋体" w:cs="宋体"/>
                  <w:sz w:val="21"/>
                  <w:szCs w:val="21"/>
                  <w:lang w:val="en-US" w:eastAsia="zh-CN"/>
                </w:rPr>
                <w:t>单项</w:t>
              </w:r>
            </w:ins>
            <w:r>
              <w:rPr>
                <w:rFonts w:hint="eastAsia" w:ascii="宋体" w:hAnsi="宋体" w:eastAsia="宋体" w:cs="宋体"/>
                <w:sz w:val="21"/>
                <w:szCs w:val="21"/>
              </w:rPr>
              <w:t>扣完为止。</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455BAD">
            <w:pPr>
              <w:jc w:val="center"/>
              <w:rPr>
                <w:rFonts w:hint="default" w:ascii="宋体" w:hAnsi="宋体" w:eastAsia="宋体" w:cs="宋体"/>
                <w:sz w:val="21"/>
                <w:szCs w:val="21"/>
                <w:highlight w:val="none"/>
                <w:lang w:val="en-US"/>
              </w:rPr>
            </w:pPr>
            <w:ins w:id="106" w:author="威武老包子" w:date="2026-03-12T09:21:45Z">
              <w:r>
                <w:rPr>
                  <w:rFonts w:hint="eastAsia" w:ascii="宋体" w:hAnsi="宋体" w:cs="宋体"/>
                  <w:color w:val="FF0000"/>
                  <w:sz w:val="21"/>
                  <w:szCs w:val="21"/>
                  <w:highlight w:val="none"/>
                  <w:lang w:val="en-US" w:eastAsia="zh-CN"/>
                </w:rPr>
                <w:t>24</w:t>
              </w:r>
            </w:ins>
          </w:p>
        </w:tc>
      </w:tr>
      <w:tr w14:paraId="6463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5BEA8C83">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9C9AC">
            <w:pPr>
              <w:rPr>
                <w:rFonts w:hint="eastAsia" w:ascii="宋体" w:hAnsi="宋体" w:eastAsia="宋体" w:cs="宋体"/>
                <w:sz w:val="21"/>
                <w:szCs w:val="21"/>
              </w:rPr>
            </w:pPr>
            <w:r>
              <w:rPr>
                <w:rFonts w:hint="eastAsia" w:ascii="宋体" w:hAnsi="宋体" w:eastAsia="宋体" w:cs="宋体"/>
                <w:sz w:val="21"/>
                <w:szCs w:val="21"/>
              </w:rPr>
              <w:t>履约能力-人员配置</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FFE6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对本项目制定的对拟投标的团队的管理总体方案进行综合评审， 1、服务期内供应商派驻人员配备要求方案完善，拟派人员充足，工作经验丰富，完全满足且优于招标文件需求的，得</w:t>
            </w:r>
            <w:ins w:id="107" w:author="很懒不起名" w:date="2026-03-12T11:28:45Z">
              <w:r>
                <w:rPr>
                  <w:rFonts w:hint="eastAsia" w:ascii="宋体" w:hAnsi="宋体" w:cs="宋体"/>
                  <w:color w:val="FF0000"/>
                  <w:sz w:val="21"/>
                  <w:szCs w:val="21"/>
                  <w:lang w:val="en-US" w:eastAsia="zh-CN"/>
                </w:rPr>
                <w:t>4</w:t>
              </w:r>
            </w:ins>
            <w:r>
              <w:rPr>
                <w:rFonts w:hint="eastAsia" w:ascii="宋体" w:hAnsi="宋体" w:eastAsia="宋体" w:cs="宋体"/>
                <w:sz w:val="21"/>
                <w:szCs w:val="21"/>
              </w:rPr>
              <w:t>分； 2、人员配备要求方案可行，拟派人员能满足招标文件需求的，得</w:t>
            </w:r>
            <w:ins w:id="108" w:author="很懒不起名" w:date="2026-03-12T11:28:50Z">
              <w:r>
                <w:rPr>
                  <w:rFonts w:hint="eastAsia" w:ascii="宋体" w:hAnsi="宋体" w:cs="宋体"/>
                  <w:sz w:val="21"/>
                  <w:szCs w:val="21"/>
                  <w:lang w:val="en-US" w:eastAsia="zh-CN"/>
                </w:rPr>
                <w:t>2</w:t>
              </w:r>
            </w:ins>
            <w:r>
              <w:rPr>
                <w:rFonts w:hint="eastAsia" w:ascii="宋体" w:hAnsi="宋体" w:eastAsia="宋体" w:cs="宋体"/>
                <w:sz w:val="21"/>
                <w:szCs w:val="21"/>
              </w:rPr>
              <w:t>分； 3、人员配备要求方案不完善，可行性不高，不满足招标文件需求或没有提供方案及相关描述得0分。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F7DEE8">
            <w:pPr>
              <w:jc w:val="center"/>
              <w:rPr>
                <w:rFonts w:hint="eastAsia" w:ascii="宋体" w:hAnsi="宋体" w:eastAsia="宋体" w:cs="宋体"/>
                <w:sz w:val="21"/>
                <w:szCs w:val="21"/>
                <w:highlight w:val="none"/>
                <w:lang w:val="en-US" w:eastAsia="zh-CN"/>
              </w:rPr>
            </w:pPr>
            <w:ins w:id="109" w:author="很懒不起名" w:date="2026-03-12T11:28:42Z">
              <w:r>
                <w:rPr>
                  <w:rFonts w:hint="eastAsia" w:ascii="宋体" w:hAnsi="宋体" w:cs="宋体"/>
                  <w:color w:val="FF0000"/>
                  <w:sz w:val="21"/>
                  <w:szCs w:val="21"/>
                  <w:highlight w:val="none"/>
                  <w:lang w:val="en-US" w:eastAsia="zh-CN"/>
                </w:rPr>
                <w:t>4</w:t>
              </w:r>
            </w:ins>
          </w:p>
        </w:tc>
      </w:tr>
      <w:tr w14:paraId="7EB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4F813CAD">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40DE3FA">
            <w:pPr>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rPr>
              <w:t>履约能力-业绩</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9B00E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公司或控股总公司2023年1月1日至今（时间以合同签订日期为准）拥有同类肠内营养剂配</w:t>
            </w:r>
            <w:r>
              <w:rPr>
                <w:rFonts w:hint="eastAsia" w:ascii="宋体" w:hAnsi="宋体" w:cs="宋体"/>
                <w:color w:val="auto"/>
                <w:sz w:val="21"/>
                <w:szCs w:val="21"/>
                <w:highlight w:val="none"/>
                <w:lang w:val="en-US" w:eastAsia="zh-CN"/>
              </w:rPr>
              <w:t>制</w:t>
            </w:r>
            <w:r>
              <w:rPr>
                <w:rFonts w:hint="eastAsia" w:ascii="宋体" w:hAnsi="宋体" w:eastAsia="宋体" w:cs="宋体"/>
                <w:color w:val="auto"/>
                <w:sz w:val="21"/>
                <w:szCs w:val="21"/>
                <w:highlight w:val="none"/>
                <w:lang w:eastAsia="zh-CN"/>
              </w:rPr>
              <w:t>采购或服务的项目业绩，</w:t>
            </w:r>
          </w:p>
          <w:p w14:paraId="3BF3C00B">
            <w:pP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FF0000"/>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rPr>
              <w:t>(提供合同复印件并加盖</w:t>
            </w:r>
            <w:r>
              <w:rPr>
                <w:rFonts w:hint="eastAsia" w:ascii="宋体" w:hAnsi="宋体" w:eastAsia="宋体" w:cs="宋体"/>
                <w:sz w:val="21"/>
                <w:szCs w:val="21"/>
                <w:lang w:eastAsia="zh-CN"/>
              </w:rPr>
              <w:t>供应商</w:t>
            </w:r>
            <w:r>
              <w:rPr>
                <w:rFonts w:hint="eastAsia" w:ascii="宋体" w:hAnsi="宋体" w:eastAsia="宋体" w:cs="宋体"/>
                <w:sz w:val="21"/>
                <w:szCs w:val="21"/>
              </w:rPr>
              <w:t>鲜章，合同复印件不得漏页、遮挡、涂改，如不符合条件视为未提供不得分)</w:t>
            </w:r>
            <w:ins w:id="110" w:author="威武老包子" w:date="2026-03-12T09:21:01Z">
              <w:r>
                <w:rPr>
                  <w:rFonts w:hint="eastAsia" w:ascii="宋体" w:hAnsi="宋体" w:cs="宋体"/>
                  <w:sz w:val="21"/>
                  <w:szCs w:val="21"/>
                  <w:lang w:eastAsia="zh-CN"/>
                </w:rPr>
                <w:t>。</w:t>
              </w:r>
            </w:ins>
            <w:r>
              <w:rPr>
                <w:rFonts w:hint="eastAsia" w:ascii="宋体" w:hAnsi="宋体" w:eastAsia="宋体" w:cs="宋体"/>
                <w:color w:val="auto"/>
                <w:sz w:val="21"/>
                <w:szCs w:val="21"/>
                <w:highlight w:val="none"/>
                <w:lang w:val="en-US" w:eastAsia="zh-CN"/>
              </w:rPr>
              <w:t xml:space="preserve"> </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0DAC0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10</w:t>
            </w:r>
          </w:p>
        </w:tc>
      </w:tr>
      <w:tr w14:paraId="663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325C776A">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right w:val="single" w:color="auto" w:sz="4" w:space="0"/>
            </w:tcBorders>
            <w:noWrap w:val="0"/>
            <w:tcMar>
              <w:top w:w="15" w:type="dxa"/>
              <w:left w:w="15" w:type="dxa"/>
              <w:bottom w:w="0" w:type="dxa"/>
              <w:right w:w="15" w:type="dxa"/>
            </w:tcMar>
            <w:vAlign w:val="top"/>
          </w:tcPr>
          <w:p w14:paraId="46ED6135">
            <w:pPr>
              <w:pStyle w:val="1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应急方案 </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8F0F212">
            <w:pPr>
              <w:pStyle w:val="18"/>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应急方案,包括但不限于①物流配送应急预案；②临时紧急采购需求的应急处理方案进行综合评审： 1.涵盖上述所有内容且方案详细具体，切合实际，可操作性强，完全满足且优于用户需求的，得</w:t>
            </w:r>
            <w:ins w:id="111" w:author="威武老包子" w:date="2026-03-12T09:43:04Z">
              <w:r>
                <w:rPr>
                  <w:rFonts w:hint="eastAsia" w:ascii="宋体" w:hAnsi="宋体" w:cs="宋体"/>
                  <w:color w:val="FF0000"/>
                  <w:sz w:val="21"/>
                  <w:szCs w:val="21"/>
                  <w:highlight w:val="none"/>
                  <w:lang w:val="en-US" w:eastAsia="zh-CN"/>
                </w:rPr>
                <w:t>5</w:t>
              </w:r>
            </w:ins>
            <w:r>
              <w:rPr>
                <w:rFonts w:hint="eastAsia" w:ascii="宋体" w:hAnsi="宋体" w:eastAsia="宋体" w:cs="宋体"/>
                <w:sz w:val="21"/>
                <w:szCs w:val="21"/>
                <w:highlight w:val="none"/>
              </w:rPr>
              <w:t>分； 2.涵盖上述所有内容且方案较详细、符合实际，可操作性较强，完全满足用户需求的，得</w:t>
            </w:r>
            <w:ins w:id="112" w:author="威武老包子" w:date="2026-03-12T09:24:02Z">
              <w:r>
                <w:rPr>
                  <w:rFonts w:hint="eastAsia" w:ascii="宋体" w:hAnsi="宋体" w:cs="宋体"/>
                  <w:sz w:val="21"/>
                  <w:szCs w:val="21"/>
                  <w:highlight w:val="none"/>
                  <w:lang w:val="en-US" w:eastAsia="zh-CN"/>
                </w:rPr>
                <w:t>3</w:t>
              </w:r>
            </w:ins>
            <w:r>
              <w:rPr>
                <w:rFonts w:hint="eastAsia" w:ascii="宋体" w:hAnsi="宋体" w:eastAsia="宋体" w:cs="宋体"/>
                <w:sz w:val="21"/>
                <w:szCs w:val="21"/>
                <w:highlight w:val="none"/>
              </w:rPr>
              <w:t>分； 3.涵盖上述所有内容且方案基本详细、基本符合实际，有一定可操作性，部分满足用户需求的，得1分； 4.不提供不得分。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2C6C1D">
            <w:pPr>
              <w:jc w:val="center"/>
              <w:rPr>
                <w:rFonts w:hint="eastAsia" w:ascii="宋体" w:hAnsi="宋体" w:eastAsia="宋体" w:cs="宋体"/>
                <w:sz w:val="21"/>
                <w:szCs w:val="21"/>
                <w:highlight w:val="none"/>
                <w:lang w:val="en-US" w:eastAsia="zh-CN"/>
              </w:rPr>
            </w:pPr>
            <w:ins w:id="113" w:author="威武老包子" w:date="2026-03-12T09:43:00Z">
              <w:r>
                <w:rPr>
                  <w:rFonts w:hint="eastAsia" w:ascii="宋体" w:hAnsi="宋体" w:cs="宋体"/>
                  <w:color w:val="FF0000"/>
                  <w:sz w:val="21"/>
                  <w:szCs w:val="21"/>
                  <w:highlight w:val="none"/>
                  <w:lang w:val="en-US" w:eastAsia="zh-CN"/>
                </w:rPr>
                <w:t>5</w:t>
              </w:r>
            </w:ins>
          </w:p>
        </w:tc>
      </w:tr>
      <w:tr w14:paraId="180A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967" w:type="dxa"/>
            <w:vMerge w:val="continue"/>
            <w:tcBorders>
              <w:left w:val="single" w:color="auto" w:sz="4" w:space="0"/>
              <w:right w:val="single" w:color="auto" w:sz="4" w:space="0"/>
            </w:tcBorders>
            <w:noWrap w:val="0"/>
            <w:vAlign w:val="center"/>
          </w:tcPr>
          <w:p w14:paraId="4F89A919">
            <w:pPr>
              <w:rPr>
                <w:rFonts w:hint="eastAsia" w:ascii="宋体" w:hAnsi="宋体" w:eastAsia="宋体" w:cs="宋体"/>
                <w:b/>
                <w:sz w:val="21"/>
                <w:szCs w:val="21"/>
                <w:highlight w:val="none"/>
              </w:rPr>
            </w:pP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E4E338">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增值服务</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37ADA6">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公司或控股公司或关联公司可为采购人提供以下</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及临床营养建设体系建立</w:t>
            </w:r>
            <w:ins w:id="114" w:author="威武老包子" w:date="2026-03-12T09:24:58Z">
              <w:r>
                <w:rPr>
                  <w:rFonts w:hint="eastAsia" w:ascii="宋体" w:hAnsi="宋体" w:cs="宋体"/>
                  <w:color w:val="auto"/>
                  <w:sz w:val="21"/>
                  <w:szCs w:val="21"/>
                  <w:highlight w:val="none"/>
                  <w:lang w:eastAsia="zh-CN"/>
                </w:rPr>
                <w:t>。</w:t>
              </w:r>
            </w:ins>
          </w:p>
          <w:p w14:paraId="0B6396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针对本项目提供完整的业务操作方案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流程，包含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营养科、临床科室、护理部、信息科、医务科</w:t>
            </w:r>
            <w:r>
              <w:rPr>
                <w:rFonts w:hint="eastAsia" w:ascii="宋体" w:hAnsi="宋体" w:eastAsia="宋体" w:cs="宋体"/>
                <w:color w:val="auto"/>
                <w:sz w:val="21"/>
                <w:szCs w:val="21"/>
                <w:highlight w:val="none"/>
                <w:lang w:eastAsia="zh-CN"/>
              </w:rPr>
              <w:t>。</w:t>
            </w:r>
          </w:p>
          <w:p w14:paraId="7AC433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协助采购人规范化营养诊疗体系建立</w:t>
            </w:r>
            <w:ins w:id="115" w:author="威武老包子" w:date="2026-03-12T09:14:08Z">
              <w:r>
                <w:rPr>
                  <w:rFonts w:hint="eastAsia" w:ascii="宋体" w:hAnsi="宋体" w:cs="宋体"/>
                  <w:color w:val="auto"/>
                  <w:sz w:val="21"/>
                  <w:szCs w:val="21"/>
                  <w:highlight w:val="none"/>
                  <w:lang w:eastAsia="zh-CN"/>
                </w:rPr>
                <w:t>。</w:t>
              </w:r>
            </w:ins>
            <w:r>
              <w:rPr>
                <w:rFonts w:hint="eastAsia" w:ascii="宋体" w:hAnsi="宋体" w:eastAsia="宋体" w:cs="宋体"/>
                <w:color w:val="auto"/>
                <w:sz w:val="21"/>
                <w:szCs w:val="21"/>
                <w:highlight w:val="none"/>
                <w:lang w:eastAsia="zh-CN"/>
              </w:rPr>
              <w:t>包含：协助协同营养科建立筛评诊治规范流程，筛评、干预率指标达到营养质控要求标准等。提供方案或承诺。</w:t>
            </w:r>
          </w:p>
          <w:p w14:paraId="49D7B8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3、协助采购人临床路径制定及执行：协助营养科制定并完成各科室营养临床路径，完成并落地2026年度重点科室临床路径计划</w:t>
            </w:r>
            <w:ins w:id="116" w:author="威武老包子" w:date="2026-03-12T09:14:26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包含：</w:t>
            </w:r>
            <w:r>
              <w:rPr>
                <w:rFonts w:hint="eastAsia" w:ascii="宋体" w:hAnsi="宋体" w:cs="宋体"/>
                <w:color w:val="auto"/>
                <w:sz w:val="21"/>
                <w:szCs w:val="21"/>
                <w:highlight w:val="none"/>
                <w:lang w:val="en-US" w:eastAsia="zh-CN"/>
              </w:rPr>
              <w:t>康复科、</w:t>
            </w:r>
            <w:r>
              <w:rPr>
                <w:rFonts w:hint="eastAsia" w:ascii="宋体" w:hAnsi="宋体" w:eastAsia="宋体" w:cs="宋体"/>
                <w:color w:val="auto"/>
                <w:sz w:val="21"/>
                <w:szCs w:val="21"/>
                <w:highlight w:val="none"/>
                <w:lang w:val="en-US" w:eastAsia="zh-CN"/>
              </w:rPr>
              <w:t>普外科、骨科、肿瘤科、血液透析、妇产科、儿科，上述科室营养筛查，评估和干预率达到质控要求标准。</w:t>
            </w:r>
            <w:r>
              <w:rPr>
                <w:rFonts w:hint="eastAsia" w:ascii="宋体" w:hAnsi="宋体" w:eastAsia="宋体" w:cs="宋体"/>
                <w:color w:val="auto"/>
                <w:sz w:val="21"/>
                <w:szCs w:val="21"/>
                <w:highlight w:val="none"/>
                <w:lang w:eastAsia="zh-CN"/>
              </w:rPr>
              <w:t>提供方案或承诺</w:t>
            </w:r>
            <w:r>
              <w:rPr>
                <w:rFonts w:hint="eastAsia" w:ascii="宋体" w:hAnsi="宋体" w:eastAsia="宋体" w:cs="宋体"/>
                <w:color w:val="auto"/>
                <w:sz w:val="21"/>
                <w:szCs w:val="21"/>
                <w:highlight w:val="none"/>
                <w:lang w:val="en-US" w:eastAsia="zh-CN"/>
              </w:rPr>
              <w:t>。</w:t>
            </w:r>
          </w:p>
          <w:p w14:paraId="4677BB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4、提供肿瘤营养赋能</w:t>
            </w:r>
            <w:ins w:id="117" w:author="威武老包子" w:date="2026-03-12T09:14:38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lang w:eastAsia="zh-CN"/>
              </w:rPr>
              <w:t>协助全院开展肿瘤早筛，肿瘤营养代谢学科体系落地及推广，提供承诺。</w:t>
            </w:r>
          </w:p>
          <w:p w14:paraId="3872F1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开展特色营养门诊</w:t>
            </w:r>
            <w:ins w:id="118" w:author="威武老包子" w:date="2026-03-12T09:14:53Z">
              <w:r>
                <w:rPr>
                  <w:rFonts w:hint="eastAsia" w:ascii="宋体" w:hAnsi="宋体" w:cs="宋体"/>
                  <w:color w:val="auto"/>
                  <w:sz w:val="21"/>
                  <w:szCs w:val="21"/>
                  <w:highlight w:val="none"/>
                  <w:lang w:eastAsia="zh-CN"/>
                </w:rPr>
                <w:t>。</w:t>
              </w:r>
            </w:ins>
            <w:r>
              <w:rPr>
                <w:rFonts w:hint="eastAsia" w:ascii="宋体" w:hAnsi="宋体" w:eastAsia="宋体" w:cs="宋体"/>
                <w:color w:val="auto"/>
                <w:sz w:val="21"/>
                <w:szCs w:val="21"/>
                <w:highlight w:val="none"/>
              </w:rPr>
              <w:t>如：肿瘤营养、妇幼营养、减重门诊等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提供承诺函及相关</w:t>
            </w:r>
            <w:r>
              <w:rPr>
                <w:rFonts w:hint="eastAsia" w:ascii="宋体" w:hAnsi="宋体" w:eastAsia="宋体" w:cs="宋体"/>
                <w:color w:val="auto"/>
                <w:sz w:val="21"/>
                <w:szCs w:val="21"/>
                <w:highlight w:val="none"/>
                <w:lang w:eastAsia="zh-CN"/>
              </w:rPr>
              <w:t>诊疗流程。</w:t>
            </w:r>
          </w:p>
          <w:p w14:paraId="337E67AC">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cs="宋体"/>
                <w:szCs w:val="21"/>
              </w:rPr>
              <w:t>本项最高得</w:t>
            </w:r>
            <w:ins w:id="119" w:author="威武老包子" w:date="2026-03-12T09:25:19Z">
              <w:r>
                <w:rPr>
                  <w:rFonts w:hint="eastAsia" w:ascii="宋体" w:hAnsi="宋体" w:cs="宋体"/>
                  <w:color w:val="FF0000"/>
                  <w:szCs w:val="21"/>
                  <w:lang w:val="en-US" w:eastAsia="zh-CN"/>
                </w:rPr>
                <w:t>20</w:t>
              </w:r>
            </w:ins>
            <w:r>
              <w:rPr>
                <w:rFonts w:hint="eastAsia" w:ascii="宋体" w:hAnsi="宋体" w:cs="宋体"/>
                <w:szCs w:val="21"/>
              </w:rPr>
              <w:t>分，每缺少1项扣</w:t>
            </w:r>
            <w:ins w:id="120" w:author="威武老包子" w:date="2026-03-12T09:25:23Z">
              <w:r>
                <w:rPr>
                  <w:rFonts w:hint="eastAsia" w:ascii="宋体" w:hAnsi="宋体" w:cs="宋体"/>
                  <w:color w:val="FF0000"/>
                  <w:szCs w:val="21"/>
                  <w:lang w:val="en-US" w:eastAsia="zh-CN"/>
                </w:rPr>
                <w:t>4</w:t>
              </w:r>
            </w:ins>
            <w:r>
              <w:rPr>
                <w:rFonts w:hint="eastAsia" w:ascii="宋体" w:hAnsi="宋体" w:cs="宋体"/>
                <w:szCs w:val="21"/>
              </w:rPr>
              <w:t xml:space="preserve">分；  </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C3BE5">
            <w:pPr>
              <w:jc w:val="center"/>
              <w:rPr>
                <w:rFonts w:hint="default" w:ascii="宋体" w:hAnsi="宋体" w:eastAsia="宋体" w:cs="宋体"/>
                <w:sz w:val="21"/>
                <w:szCs w:val="21"/>
                <w:highlight w:val="none"/>
                <w:lang w:val="en-US" w:eastAsia="zh-CN"/>
              </w:rPr>
            </w:pPr>
            <w:ins w:id="121" w:author="威武老包子" w:date="2026-03-12T09:25:13Z">
              <w:r>
                <w:rPr>
                  <w:rFonts w:hint="eastAsia" w:ascii="宋体" w:hAnsi="宋体" w:cs="宋体"/>
                  <w:color w:val="FF0000"/>
                  <w:sz w:val="21"/>
                  <w:szCs w:val="21"/>
                  <w:highlight w:val="none"/>
                  <w:lang w:val="en-US" w:eastAsia="zh-CN"/>
                </w:rPr>
                <w:t>20</w:t>
              </w:r>
            </w:ins>
          </w:p>
        </w:tc>
      </w:tr>
      <w:tr w14:paraId="464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967" w:type="dxa"/>
            <w:vMerge w:val="continue"/>
            <w:tcBorders>
              <w:left w:val="single" w:color="auto" w:sz="4" w:space="0"/>
              <w:right w:val="single" w:color="auto" w:sz="4" w:space="0"/>
            </w:tcBorders>
            <w:noWrap w:val="0"/>
            <w:vAlign w:val="center"/>
          </w:tcPr>
          <w:p w14:paraId="5F2281BA">
            <w:pPr>
              <w:rPr>
                <w:rFonts w:hint="eastAsia" w:ascii="宋体" w:hAnsi="宋体" w:eastAsia="宋体" w:cs="宋体"/>
                <w:b/>
                <w:sz w:val="21"/>
                <w:szCs w:val="21"/>
                <w:highlight w:val="none"/>
              </w:rPr>
            </w:pPr>
          </w:p>
        </w:tc>
        <w:tc>
          <w:tcPr>
            <w:tcW w:w="1127" w:type="dxa"/>
            <w:vMerge w:val="restart"/>
            <w:tcBorders>
              <w:left w:val="single" w:color="auto" w:sz="4" w:space="0"/>
              <w:right w:val="single" w:color="auto" w:sz="4" w:space="0"/>
            </w:tcBorders>
            <w:noWrap w:val="0"/>
            <w:tcMar>
              <w:top w:w="15" w:type="dxa"/>
              <w:left w:w="15" w:type="dxa"/>
              <w:bottom w:w="0" w:type="dxa"/>
              <w:right w:w="15" w:type="dxa"/>
            </w:tcMar>
            <w:vAlign w:val="center"/>
          </w:tcPr>
          <w:p w14:paraId="7602E2D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企业实力</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2027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有效支持以“真实世界研究”为主要形式的广泛的临床验证性研究；可根据要求结合实际情况积极支持和协助有关学术论文撰写与发表。提供相关研究课题方案及承诺等。</w:t>
            </w:r>
          </w:p>
          <w:p w14:paraId="557F05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FF0000"/>
                <w:sz w:val="21"/>
                <w:szCs w:val="21"/>
                <w:highlight w:val="none"/>
                <w:lang w:val="en-US" w:eastAsia="zh-CN"/>
              </w:rPr>
              <w:t>1</w:t>
            </w:r>
            <w:ins w:id="122" w:author="威武老包子" w:date="2026-03-12T09:24:38Z">
              <w:r>
                <w:rPr>
                  <w:rFonts w:hint="eastAsia" w:ascii="宋体" w:hAnsi="宋体" w:cs="宋体"/>
                  <w:color w:val="FF0000"/>
                  <w:sz w:val="21"/>
                  <w:szCs w:val="21"/>
                  <w:highlight w:val="none"/>
                  <w:lang w:val="en-US" w:eastAsia="zh-CN"/>
                </w:rPr>
                <w:t>0</w:t>
              </w:r>
            </w:ins>
            <w:r>
              <w:rPr>
                <w:rFonts w:hint="eastAsia" w:ascii="宋体" w:hAnsi="宋体" w:eastAsia="宋体" w:cs="宋体"/>
                <w:color w:val="auto"/>
                <w:sz w:val="21"/>
                <w:szCs w:val="21"/>
                <w:highlight w:val="none"/>
              </w:rPr>
              <w:t>分，没有不得分。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567651">
            <w:pPr>
              <w:jc w:val="center"/>
              <w:rPr>
                <w:rFonts w:hint="default" w:ascii="宋体" w:hAnsi="宋体" w:eastAsia="宋体" w:cs="宋体"/>
                <w:sz w:val="21"/>
                <w:szCs w:val="21"/>
                <w:highlight w:val="none"/>
                <w:lang w:val="en-US" w:eastAsia="zh-CN"/>
              </w:rPr>
            </w:pPr>
            <w:ins w:id="123" w:author="威武老包子" w:date="2026-03-12T09:24:34Z">
              <w:r>
                <w:rPr>
                  <w:rFonts w:hint="eastAsia" w:ascii="宋体" w:hAnsi="宋体" w:cs="宋体"/>
                  <w:color w:val="FF0000"/>
                  <w:sz w:val="21"/>
                  <w:szCs w:val="21"/>
                  <w:highlight w:val="none"/>
                  <w:lang w:val="en-US" w:eastAsia="zh-CN"/>
                </w:rPr>
                <w:t>1</w:t>
              </w:r>
            </w:ins>
            <w:ins w:id="124" w:author="威武老包子" w:date="2026-03-12T09:24:35Z">
              <w:r>
                <w:rPr>
                  <w:rFonts w:hint="eastAsia" w:ascii="宋体" w:hAnsi="宋体" w:cs="宋体"/>
                  <w:color w:val="FF0000"/>
                  <w:sz w:val="21"/>
                  <w:szCs w:val="21"/>
                  <w:highlight w:val="none"/>
                  <w:lang w:val="en-US" w:eastAsia="zh-CN"/>
                </w:rPr>
                <w:t>0</w:t>
              </w:r>
            </w:ins>
          </w:p>
        </w:tc>
      </w:tr>
      <w:tr w14:paraId="3CF7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967" w:type="dxa"/>
            <w:vMerge w:val="continue"/>
            <w:tcBorders>
              <w:left w:val="single" w:color="auto" w:sz="4" w:space="0"/>
              <w:right w:val="single" w:color="auto" w:sz="4" w:space="0"/>
            </w:tcBorders>
            <w:noWrap w:val="0"/>
            <w:vAlign w:val="center"/>
          </w:tcPr>
          <w:p w14:paraId="647DF12D">
            <w:pPr>
              <w:rPr>
                <w:rFonts w:hint="eastAsia" w:ascii="宋体" w:hAnsi="宋体" w:eastAsia="宋体" w:cs="宋体"/>
                <w:b/>
                <w:sz w:val="21"/>
                <w:szCs w:val="21"/>
                <w:highlight w:val="none"/>
              </w:rPr>
            </w:pPr>
          </w:p>
        </w:tc>
        <w:tc>
          <w:tcPr>
            <w:tcW w:w="112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25C63480">
            <w:pPr>
              <w:rPr>
                <w:rFonts w:hint="eastAsia" w:ascii="宋体" w:hAnsi="宋体" w:eastAsia="宋体" w:cs="宋体"/>
                <w:sz w:val="21"/>
                <w:szCs w:val="21"/>
                <w:highlight w:val="none"/>
                <w:lang w:eastAsia="zh-CN"/>
              </w:rPr>
            </w:pP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5804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公司或控股公司为高新技术企业，</w:t>
            </w:r>
            <w:ins w:id="125" w:author="威武老包子" w:date="2026-03-12T09:10:50Z">
              <w:r>
                <w:rPr>
                  <w:rFonts w:hint="eastAsia" w:ascii="宋体" w:hAnsi="宋体" w:eastAsia="宋体" w:cs="宋体"/>
                  <w:i w:val="0"/>
                  <w:iCs w:val="0"/>
                  <w:caps w:val="0"/>
                  <w:color w:val="auto"/>
                  <w:spacing w:val="0"/>
                  <w:sz w:val="21"/>
                  <w:szCs w:val="21"/>
                  <w:highlight w:val="none"/>
                  <w:shd w:val="clear" w:fill="auto"/>
                </w:rPr>
                <w:t>且在有效期内的</w:t>
              </w:r>
            </w:ins>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ins w:id="126" w:author="威武老包子" w:date="2026-03-12T09:13:44Z">
              <w:r>
                <w:rPr>
                  <w:rFonts w:hint="eastAsia" w:ascii="宋体" w:hAnsi="宋体" w:eastAsia="宋体" w:cs="宋体"/>
                  <w:i w:val="0"/>
                  <w:iCs w:val="0"/>
                  <w:caps w:val="0"/>
                  <w:color w:val="auto"/>
                  <w:spacing w:val="0"/>
                  <w:sz w:val="21"/>
                  <w:szCs w:val="21"/>
                  <w:highlight w:val="none"/>
                  <w:shd w:val="clear"/>
                  <w:lang w:eastAsia="zh-CN"/>
                </w:rPr>
                <w:t>“</w:t>
              </w:r>
            </w:ins>
            <w:ins w:id="127" w:author="威武老包子" w:date="2026-03-12T09:13:11Z">
              <w:r>
                <w:rPr>
                  <w:rStyle w:val="13"/>
                  <w:rFonts w:hint="eastAsia" w:ascii="宋体" w:hAnsi="宋体" w:eastAsia="宋体" w:cs="宋体"/>
                  <w:i w:val="0"/>
                  <w:iCs w:val="0"/>
                  <w:caps w:val="0"/>
                  <w:color w:val="auto"/>
                  <w:spacing w:val="0"/>
                  <w:sz w:val="21"/>
                  <w:szCs w:val="21"/>
                  <w:highlight w:val="none"/>
                  <w:shd w:val="clear" w:fill="FFFFFF"/>
                </w:rPr>
                <w:t>高新技术企业</w:t>
              </w:r>
            </w:ins>
            <w:ins w:id="128" w:author="威武老包子" w:date="2026-03-12T09:13:47Z">
              <w:r>
                <w:rPr>
                  <w:rFonts w:hint="eastAsia" w:ascii="宋体" w:hAnsi="宋体" w:eastAsia="宋体" w:cs="宋体"/>
                  <w:i w:val="0"/>
                  <w:iCs w:val="0"/>
                  <w:caps w:val="0"/>
                  <w:color w:val="auto"/>
                  <w:spacing w:val="0"/>
                  <w:sz w:val="21"/>
                  <w:szCs w:val="21"/>
                  <w:highlight w:val="none"/>
                  <w:shd w:val="clear"/>
                  <w:lang w:eastAsia="zh-CN"/>
                </w:rPr>
                <w:t>”</w:t>
              </w:r>
            </w:ins>
            <w:ins w:id="129" w:author="威武老包子" w:date="2026-03-12T09:13:11Z">
              <w:r>
                <w:rPr>
                  <w:rFonts w:hint="eastAsia" w:ascii="宋体" w:hAnsi="宋体" w:eastAsia="宋体" w:cs="宋体"/>
                  <w:i w:val="0"/>
                  <w:iCs w:val="0"/>
                  <w:caps w:val="0"/>
                  <w:color w:val="auto"/>
                  <w:spacing w:val="0"/>
                  <w:sz w:val="21"/>
                  <w:szCs w:val="21"/>
                  <w:highlight w:val="none"/>
                  <w:shd w:val="clear" w:fill="auto"/>
                </w:rPr>
                <w:t>认证证书,</w:t>
              </w:r>
            </w:ins>
            <w:r>
              <w:rPr>
                <w:rFonts w:hint="eastAsia" w:ascii="宋体" w:hAnsi="宋体" w:eastAsia="宋体" w:cs="宋体"/>
                <w:color w:val="auto"/>
                <w:sz w:val="21"/>
                <w:szCs w:val="21"/>
                <w:highlight w:val="none"/>
              </w:rPr>
              <w:t>复印件并加盖单位公章。</w:t>
            </w:r>
          </w:p>
          <w:p w14:paraId="2BCBA25E">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本项最高得</w:t>
            </w:r>
            <w:ins w:id="130" w:author="威武老包子" w:date="2026-03-12T09:26:50Z">
              <w:r>
                <w:rPr>
                  <w:rFonts w:hint="eastAsia" w:ascii="宋体" w:hAnsi="宋体" w:cs="宋体"/>
                  <w:color w:val="FF0000"/>
                  <w:sz w:val="21"/>
                  <w:szCs w:val="21"/>
                  <w:highlight w:val="none"/>
                  <w:lang w:val="en-US" w:eastAsia="zh-CN"/>
                </w:rPr>
                <w:t>2</w:t>
              </w:r>
            </w:ins>
            <w:r>
              <w:rPr>
                <w:rFonts w:hint="eastAsia" w:ascii="宋体" w:hAnsi="宋体" w:eastAsia="宋体" w:cs="宋体"/>
                <w:color w:val="auto"/>
                <w:sz w:val="21"/>
                <w:szCs w:val="21"/>
                <w:highlight w:val="none"/>
              </w:rPr>
              <w:t>分，没有不得分。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794803">
            <w:pPr>
              <w:jc w:val="center"/>
              <w:rPr>
                <w:rFonts w:hint="eastAsia" w:ascii="宋体" w:hAnsi="宋体" w:eastAsia="宋体" w:cs="宋体"/>
                <w:sz w:val="21"/>
                <w:szCs w:val="21"/>
                <w:highlight w:val="none"/>
                <w:lang w:val="en-US" w:eastAsia="zh-CN"/>
              </w:rPr>
            </w:pPr>
            <w:ins w:id="131" w:author="威武老包子" w:date="2026-03-12T09:26:53Z">
              <w:r>
                <w:rPr>
                  <w:rFonts w:hint="eastAsia" w:ascii="宋体" w:hAnsi="宋体" w:cs="宋体"/>
                  <w:color w:val="FF0000"/>
                  <w:sz w:val="21"/>
                  <w:szCs w:val="21"/>
                  <w:highlight w:val="none"/>
                  <w:lang w:val="en-US" w:eastAsia="zh-CN"/>
                </w:rPr>
                <w:t>2</w:t>
              </w:r>
            </w:ins>
          </w:p>
        </w:tc>
      </w:tr>
    </w:tbl>
    <w:p w14:paraId="7FA01A60">
      <w:pPr>
        <w:rPr>
          <w:rFonts w:hint="eastAsia" w:ascii="宋体" w:hAnsi="宋体" w:eastAsia="宋体" w:cs="宋体"/>
          <w:b/>
          <w:color w:val="000000"/>
          <w:highlight w:val="none"/>
        </w:rPr>
      </w:pPr>
    </w:p>
    <w:p w14:paraId="6B2FE9BF">
      <w:pPr>
        <w:spacing w:line="360" w:lineRule="auto"/>
        <w:ind w:left="-283" w:leftChars="-135" w:firstLine="565" w:firstLineChars="268"/>
        <w:rPr>
          <w:rFonts w:hint="eastAsia" w:ascii="宋体" w:hAnsi="宋体" w:eastAsia="宋体" w:cs="宋体"/>
        </w:rPr>
      </w:pPr>
      <w:r>
        <w:rPr>
          <w:rFonts w:hint="eastAsia" w:ascii="宋体" w:hAnsi="宋体" w:eastAsia="宋体" w:cs="宋体"/>
          <w:b/>
          <w:szCs w:val="21"/>
        </w:rPr>
        <w:t>备注：</w:t>
      </w:r>
    </w:p>
    <w:p w14:paraId="32A8648B">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1、以上评分标准中评分的每一条，各</w:t>
      </w:r>
      <w:r>
        <w:rPr>
          <w:rFonts w:hint="eastAsia" w:ascii="宋体" w:hAnsi="宋体" w:eastAsia="宋体" w:cs="宋体"/>
          <w:b/>
          <w:szCs w:val="21"/>
          <w:lang w:eastAsia="zh-CN"/>
        </w:rPr>
        <w:t>供应商</w:t>
      </w:r>
      <w:r>
        <w:rPr>
          <w:rFonts w:hint="eastAsia" w:ascii="宋体" w:hAnsi="宋体" w:eastAsia="宋体" w:cs="宋体"/>
          <w:b/>
          <w:szCs w:val="21"/>
        </w:rPr>
        <w:t>提供相关的资料并供评分评判。</w:t>
      </w:r>
    </w:p>
    <w:p w14:paraId="6C79369E">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2、投标报价超过预算金额的，投标方不得进入评标程序。</w:t>
      </w:r>
    </w:p>
    <w:p w14:paraId="44CF82D8">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3、响应文件中如出现前后不一致时,评委有权请</w:t>
      </w:r>
      <w:r>
        <w:rPr>
          <w:rFonts w:hint="eastAsia" w:ascii="宋体" w:hAnsi="宋体" w:eastAsia="宋体" w:cs="宋体"/>
          <w:b/>
          <w:szCs w:val="21"/>
          <w:lang w:eastAsia="zh-CN"/>
        </w:rPr>
        <w:t>供应商</w:t>
      </w:r>
      <w:r>
        <w:rPr>
          <w:rFonts w:hint="eastAsia" w:ascii="宋体" w:hAnsi="宋体" w:eastAsia="宋体" w:cs="宋体"/>
          <w:b/>
          <w:szCs w:val="21"/>
        </w:rPr>
        <w:t>澄清说明,澄清说明事项涉及评分时,评委有权酌情扣分。</w:t>
      </w:r>
    </w:p>
    <w:p w14:paraId="1EE2F174">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4、中标后，采购管理机构有权对所有证书和业绩的真实性进行核查，如有不实，将取消中标资格，并按相关规定进行处理。</w:t>
      </w:r>
      <w:r>
        <w:rPr>
          <w:rFonts w:hint="eastAsia" w:ascii="宋体" w:hAnsi="宋体" w:eastAsia="宋体" w:cs="宋体"/>
          <w:b/>
        </w:rPr>
        <w:t>(原件与响应文件同时提交，过时不候)</w:t>
      </w:r>
    </w:p>
    <w:p w14:paraId="0B77B2D4"/>
    <w:p w14:paraId="00035091">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62F6B0" w:csb1="0000C71E"/>
  </w:font>
  <w:font w:name="微软雅黑">
    <w:panose1 w:val="020B0503020204020204"/>
    <w:charset w:val="86"/>
    <w:family w:val="auto"/>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A53B">
    <w:pPr>
      <w:pStyle w:val="7"/>
      <w:jc w:val="center"/>
      <w:rPr>
        <w:ins w:id="1" w:author="威武老包子" w:date="2026-03-12T09:00:24Z"/>
      </w:rPr>
    </w:pPr>
    <w:ins w:id="2" w:author="威武老包子" w:date="2026-03-12T09:00:24Z">
      <w:r>
        <w:rPr/>
        <w:fldChar w:fldCharType="begin"/>
      </w:r>
    </w:ins>
    <w:ins w:id="3" w:author="威武老包子" w:date="2026-03-12T09:00:24Z">
      <w:r>
        <w:rPr/>
        <w:instrText xml:space="preserve"> PAGE   \* MERGEFORMAT </w:instrText>
      </w:r>
    </w:ins>
    <w:ins w:id="4" w:author="威武老包子" w:date="2026-03-12T09:00:24Z">
      <w:r>
        <w:rPr/>
        <w:fldChar w:fldCharType="separate"/>
      </w:r>
    </w:ins>
    <w:ins w:id="5" w:author="威武老包子" w:date="2026-03-12T09:00:24Z">
      <w:r>
        <w:rPr>
          <w:lang w:val="zh-CN"/>
        </w:rPr>
        <w:t>12</w:t>
      </w:r>
    </w:ins>
    <w:ins w:id="6" w:author="威武老包子" w:date="2026-03-12T09:00:24Z">
      <w:r>
        <w:rPr/>
        <w:fldChar w:fldCharType="end"/>
      </w:r>
    </w:ins>
  </w:p>
  <w:p w14:paraId="0C48B8B3">
    <w:pPr>
      <w:pStyle w:val="7"/>
      <w:rPr>
        <w:ins w:id="7" w:author="威武老包子" w:date="2026-03-12T09:00:24Z"/>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AA0B">
    <w:pPr>
      <w:pStyle w:val="8"/>
      <w:jc w:val="both"/>
      <w:rPr>
        <w:ins w:id="0" w:author="威武老包子" w:date="2026-03-12T09:00:24Z"/>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5A142"/>
    <w:multiLevelType w:val="singleLevel"/>
    <w:tmpl w:val="F3E5A142"/>
    <w:lvl w:ilvl="0" w:tentative="0">
      <w:start w:val="1"/>
      <w:numFmt w:val="chineseCounting"/>
      <w:suff w:val="nothing"/>
      <w:lvlText w:val="（%1）"/>
      <w:lvlJc w:val="left"/>
      <w:rPr>
        <w:rFonts w:hint="eastAsia"/>
        <w:b/>
        <w:bCs/>
        <w:sz w:val="24"/>
        <w:szCs w:val="24"/>
      </w:rPr>
    </w:lvl>
  </w:abstractNum>
  <w:abstractNum w:abstractNumId="1">
    <w:nsid w:val="FE8BD0F9"/>
    <w:multiLevelType w:val="singleLevel"/>
    <w:tmpl w:val="FE8BD0F9"/>
    <w:lvl w:ilvl="0" w:tentative="0">
      <w:start w:val="6"/>
      <w:numFmt w:val="chineseCounting"/>
      <w:suff w:val="nothing"/>
      <w:lvlText w:val="(%1）"/>
      <w:lvlJc w:val="left"/>
      <w:rPr>
        <w:rFonts w:hint="eastAsia"/>
      </w:rPr>
    </w:lvl>
  </w:abstractNum>
  <w:abstractNum w:abstractNumId="2">
    <w:nsid w:val="00000001"/>
    <w:multiLevelType w:val="multilevel"/>
    <w:tmpl w:val="00000001"/>
    <w:lvl w:ilvl="0" w:tentative="0">
      <w:start w:val="1"/>
      <w:numFmt w:val="upperLetter"/>
      <w:pStyle w:val="3"/>
      <w:lvlText w:val="%1．"/>
      <w:lvlJc w:val="left"/>
      <w:pPr>
        <w:tabs>
          <w:tab w:val="left" w:pos="1255"/>
        </w:tabs>
        <w:ind w:left="1255" w:hanging="405"/>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6411105"/>
    <w:multiLevelType w:val="multilevel"/>
    <w:tmpl w:val="064111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986340"/>
    <w:multiLevelType w:val="multilevel"/>
    <w:tmpl w:val="089863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125B14"/>
    <w:multiLevelType w:val="multilevel"/>
    <w:tmpl w:val="13125B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210C9E"/>
    <w:multiLevelType w:val="multilevel"/>
    <w:tmpl w:val="13210C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5027AE"/>
    <w:multiLevelType w:val="multilevel"/>
    <w:tmpl w:val="135027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6F2C03"/>
    <w:multiLevelType w:val="multilevel"/>
    <w:tmpl w:val="146F2C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307734"/>
    <w:multiLevelType w:val="multilevel"/>
    <w:tmpl w:val="1D3077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79141B"/>
    <w:multiLevelType w:val="multilevel"/>
    <w:tmpl w:val="1F7914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BE7EA1"/>
    <w:multiLevelType w:val="multilevel"/>
    <w:tmpl w:val="26BE7E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DB4D92"/>
    <w:multiLevelType w:val="multilevel"/>
    <w:tmpl w:val="2ADB4D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C31DF5"/>
    <w:multiLevelType w:val="multilevel"/>
    <w:tmpl w:val="2BC31D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FE533AF"/>
    <w:multiLevelType w:val="multilevel"/>
    <w:tmpl w:val="2FE533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28307D"/>
    <w:multiLevelType w:val="multilevel"/>
    <w:tmpl w:val="302830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0630402"/>
    <w:multiLevelType w:val="multilevel"/>
    <w:tmpl w:val="306304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07E1372"/>
    <w:multiLevelType w:val="multilevel"/>
    <w:tmpl w:val="307E13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3091762"/>
    <w:multiLevelType w:val="multilevel"/>
    <w:tmpl w:val="33091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20B6AFC"/>
    <w:multiLevelType w:val="multilevel"/>
    <w:tmpl w:val="420B6A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36B1782"/>
    <w:multiLevelType w:val="multilevel"/>
    <w:tmpl w:val="436B17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4EF43F2"/>
    <w:multiLevelType w:val="multilevel"/>
    <w:tmpl w:val="44EF43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8400A0"/>
    <w:multiLevelType w:val="multilevel"/>
    <w:tmpl w:val="49840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B000843"/>
    <w:multiLevelType w:val="multilevel"/>
    <w:tmpl w:val="4B0008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B610CCC"/>
    <w:multiLevelType w:val="multilevel"/>
    <w:tmpl w:val="4B610C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21F383E"/>
    <w:multiLevelType w:val="multilevel"/>
    <w:tmpl w:val="521F38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5F67CB7"/>
    <w:multiLevelType w:val="multilevel"/>
    <w:tmpl w:val="55F67C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86A1CC0"/>
    <w:multiLevelType w:val="multilevel"/>
    <w:tmpl w:val="586A1C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97D4BB2"/>
    <w:multiLevelType w:val="multilevel"/>
    <w:tmpl w:val="597D4B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C0D37AB"/>
    <w:multiLevelType w:val="multilevel"/>
    <w:tmpl w:val="5C0D37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D00D4B"/>
    <w:multiLevelType w:val="multilevel"/>
    <w:tmpl w:val="5ED00D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1F36C70"/>
    <w:multiLevelType w:val="multilevel"/>
    <w:tmpl w:val="61F36C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5DE31C0"/>
    <w:multiLevelType w:val="multilevel"/>
    <w:tmpl w:val="65DE31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91E638B"/>
    <w:multiLevelType w:val="multilevel"/>
    <w:tmpl w:val="691E63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BCB24AD"/>
    <w:multiLevelType w:val="multilevel"/>
    <w:tmpl w:val="6BCB24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8A4102"/>
    <w:multiLevelType w:val="multilevel"/>
    <w:tmpl w:val="6C8A41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DB331E6"/>
    <w:multiLevelType w:val="multilevel"/>
    <w:tmpl w:val="6DB331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F9900FD"/>
    <w:multiLevelType w:val="multilevel"/>
    <w:tmpl w:val="6F9900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9D11D72"/>
    <w:multiLevelType w:val="multilevel"/>
    <w:tmpl w:val="79D11D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A026EB8"/>
    <w:multiLevelType w:val="multilevel"/>
    <w:tmpl w:val="7A026E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E845F71"/>
    <w:multiLevelType w:val="multilevel"/>
    <w:tmpl w:val="7E845F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F9E2A80"/>
    <w:multiLevelType w:val="multilevel"/>
    <w:tmpl w:val="7F9E2A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4"/>
  </w:num>
  <w:num w:numId="5">
    <w:abstractNumId w:val="30"/>
  </w:num>
  <w:num w:numId="6">
    <w:abstractNumId w:val="16"/>
  </w:num>
  <w:num w:numId="7">
    <w:abstractNumId w:val="20"/>
  </w:num>
  <w:num w:numId="8">
    <w:abstractNumId w:val="27"/>
  </w:num>
  <w:num w:numId="9">
    <w:abstractNumId w:val="18"/>
  </w:num>
  <w:num w:numId="10">
    <w:abstractNumId w:val="6"/>
  </w:num>
  <w:num w:numId="11">
    <w:abstractNumId w:val="32"/>
  </w:num>
  <w:num w:numId="12">
    <w:abstractNumId w:val="41"/>
  </w:num>
  <w:num w:numId="13">
    <w:abstractNumId w:val="24"/>
  </w:num>
  <w:num w:numId="14">
    <w:abstractNumId w:val="5"/>
  </w:num>
  <w:num w:numId="15">
    <w:abstractNumId w:val="4"/>
  </w:num>
  <w:num w:numId="16">
    <w:abstractNumId w:val="7"/>
  </w:num>
  <w:num w:numId="17">
    <w:abstractNumId w:val="11"/>
  </w:num>
  <w:num w:numId="18">
    <w:abstractNumId w:val="9"/>
  </w:num>
  <w:num w:numId="19">
    <w:abstractNumId w:val="22"/>
  </w:num>
  <w:num w:numId="20">
    <w:abstractNumId w:val="13"/>
  </w:num>
  <w:num w:numId="21">
    <w:abstractNumId w:val="25"/>
  </w:num>
  <w:num w:numId="22">
    <w:abstractNumId w:val="29"/>
  </w:num>
  <w:num w:numId="23">
    <w:abstractNumId w:val="40"/>
  </w:num>
  <w:num w:numId="24">
    <w:abstractNumId w:val="10"/>
  </w:num>
  <w:num w:numId="25">
    <w:abstractNumId w:val="33"/>
  </w:num>
  <w:num w:numId="26">
    <w:abstractNumId w:val="28"/>
  </w:num>
  <w:num w:numId="27">
    <w:abstractNumId w:val="8"/>
  </w:num>
  <w:num w:numId="28">
    <w:abstractNumId w:val="15"/>
  </w:num>
  <w:num w:numId="29">
    <w:abstractNumId w:val="39"/>
  </w:num>
  <w:num w:numId="30">
    <w:abstractNumId w:val="3"/>
  </w:num>
  <w:num w:numId="31">
    <w:abstractNumId w:val="36"/>
  </w:num>
  <w:num w:numId="32">
    <w:abstractNumId w:val="23"/>
  </w:num>
  <w:num w:numId="33">
    <w:abstractNumId w:val="21"/>
  </w:num>
  <w:num w:numId="34">
    <w:abstractNumId w:val="37"/>
  </w:num>
  <w:num w:numId="35">
    <w:abstractNumId w:val="12"/>
  </w:num>
  <w:num w:numId="36">
    <w:abstractNumId w:val="14"/>
  </w:num>
  <w:num w:numId="37">
    <w:abstractNumId w:val="26"/>
  </w:num>
  <w:num w:numId="38">
    <w:abstractNumId w:val="35"/>
  </w:num>
  <w:num w:numId="39">
    <w:abstractNumId w:val="38"/>
  </w:num>
  <w:num w:numId="40">
    <w:abstractNumId w:val="19"/>
  </w:num>
  <w:num w:numId="41">
    <w:abstractNumId w:val="17"/>
  </w:num>
  <w:num w:numId="4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威武老包子">
    <w15:presenceInfo w15:providerId="WPS Office" w15:userId="3564343132"/>
  </w15:person>
  <w15:person w15:author="很懒不起名">
    <w15:presenceInfo w15:providerId="WPS Office" w15:userId="1625214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B4940"/>
    <w:rsid w:val="0F096EB9"/>
    <w:rsid w:val="1E346197"/>
    <w:rsid w:val="374D1070"/>
    <w:rsid w:val="3AFB62F5"/>
    <w:rsid w:val="3D30104C"/>
    <w:rsid w:val="445E5942"/>
    <w:rsid w:val="565B10BF"/>
    <w:rsid w:val="579E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numPr>
        <w:ilvl w:val="0"/>
        <w:numId w:val="1"/>
      </w:numPr>
      <w:spacing w:line="300" w:lineRule="auto"/>
      <w:jc w:val="left"/>
      <w:outlineLvl w:val="0"/>
    </w:pPr>
    <w:rPr>
      <w:sz w:val="28"/>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Indent"/>
    <w:basedOn w:val="1"/>
    <w:next w:val="6"/>
    <w:qFormat/>
    <w:uiPriority w:val="0"/>
    <w:pPr>
      <w:spacing w:line="520" w:lineRule="exact"/>
      <w:ind w:left="570" w:right="0" w:firstLine="0"/>
    </w:pPr>
    <w:rPr>
      <w:rFonts w:ascii="方正仿宋简体" w:hAnsi="方正仿宋简体" w:eastAsia="方正仿宋简体"/>
      <w:sz w:val="24"/>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9">
    <w:name w:val="List"/>
    <w:basedOn w:val="1"/>
    <w:qFormat/>
    <w:uiPriority w:val="0"/>
    <w:pPr>
      <w:tabs>
        <w:tab w:val="left" w:pos="5250"/>
      </w:tabs>
    </w:pPr>
    <w:rPr>
      <w:rFonts w:cs="Mangal"/>
    </w:rPr>
  </w:style>
  <w:style w:type="paragraph" w:styleId="10">
    <w:name w:val="Body Text First Indent 2"/>
    <w:basedOn w:val="5"/>
    <w:next w:val="9"/>
    <w:unhideWhenUsed/>
    <w:qFormat/>
    <w:uiPriority w:val="99"/>
    <w:pPr>
      <w:suppressAutoHyphens w:val="0"/>
      <w:adjustRightInd w:val="0"/>
      <w:spacing w:after="120" w:line="360" w:lineRule="auto"/>
      <w:ind w:left="420" w:leftChars="20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styleId="15">
    <w:name w:val="List Paragraph"/>
    <w:basedOn w:val="1"/>
    <w:qFormat/>
    <w:uiPriority w:val="34"/>
    <w:pPr>
      <w:widowControl/>
      <w:suppressAutoHyphens w:val="0"/>
      <w:spacing w:line="360" w:lineRule="auto"/>
      <w:ind w:firstLine="200" w:firstLineChars="200"/>
    </w:pPr>
    <w:rPr>
      <w:sz w:val="24"/>
      <w:szCs w:val="20"/>
    </w:rPr>
  </w:style>
  <w:style w:type="paragraph" w:customStyle="1" w:styleId="1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Body Text Indent 2"/>
    <w:basedOn w:val="1"/>
    <w:qFormat/>
    <w:uiPriority w:val="0"/>
    <w:pPr>
      <w:spacing w:line="520" w:lineRule="exact"/>
      <w:ind w:left="0" w:right="0" w:firstLine="570"/>
    </w:pPr>
    <w:rPr>
      <w:rFonts w:ascii="方正仿宋简体" w:hAnsi="方正仿宋简体" w:eastAsia="方正仿宋简体"/>
      <w:bCs/>
      <w:sz w:val="24"/>
      <w:szCs w:val="20"/>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5434</Words>
  <Characters>5515</Characters>
  <Lines>0</Lines>
  <Paragraphs>0</Paragraphs>
  <TotalTime>147</TotalTime>
  <ScaleCrop>false</ScaleCrop>
  <LinksUpToDate>false</LinksUpToDate>
  <CharactersWithSpaces>5530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2023-08-29T02:18:00Z</dcterms:created>
  <dc:creator>Administrator</dc:creator>
  <cp:lastModifiedBy>很懒不起名</cp:lastModifiedBy>
  <cp:lastPrinted>2026-04-02T05:50:04Z</cp:lastPrinted>
  <dcterms:modified xsi:type="dcterms:W3CDTF">2026-04-02T09:27:59Z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8BFDE457C6264C04AC60F72796570CD4_13</vt:lpwstr>
  </property>
  <property fmtid="{D5CDD505-2E9C-101B-9397-08002B2CF9AE}" pid="4" name="KSOTemplateDocerSaveRecord">
    <vt:lpwstr>eyJoZGlkIjoiZWFkMWQ0MTQyMWVmZWQ4ZWM2MTlkMWQ4NmMxNTA1Y2EiLCJ1c2VySWQiOiIzMzcyMTM0MzkifQ==</vt:lpwstr>
  </property>
</Properties>
</file>